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eastAsia="方正小标宋简体"/>
          <w:lang w:eastAsia="zh-CN"/>
        </w:rPr>
      </w:pPr>
      <w:r>
        <w:rPr>
          <w:rFonts w:ascii="方正小标宋简体" w:hAnsi="方正小标宋_GBK" w:eastAsia="方正小标宋简体" w:cs="方正小标宋_GBK"/>
          <w:sz w:val="56"/>
          <w:szCs w:val="56"/>
        </w:rPr>
        <w:t>天津市审计局</w:t>
      </w:r>
      <w:r>
        <w:rPr>
          <w:rFonts w:hint="eastAsia" w:ascii="方正小标宋简体" w:hAnsi="方正小标宋_GBK" w:eastAsia="方正小标宋简体" w:cs="方正小标宋_GBK"/>
          <w:sz w:val="56"/>
          <w:szCs w:val="56"/>
          <w:lang w:eastAsia="zh-CN"/>
        </w:rPr>
        <w:t>（本级）</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1.档案数字化扫描经费绩效目标表</w:t>
      </w:r>
      <w:r>
        <w:fldChar w:fldCharType="end"/>
      </w:r>
    </w:p>
    <w:p>
      <w:pPr>
        <w:pStyle w:val="17"/>
        <w:tabs>
          <w:tab w:val="right" w:leader="dot" w:pos="9282"/>
        </w:tabs>
      </w:pPr>
      <w:r>
        <w:fldChar w:fldCharType="begin"/>
      </w:r>
      <w:r>
        <w:instrText xml:space="preserve"> HYPERLINK \l "_Toc_4_4_0000000005" </w:instrText>
      </w:r>
      <w:r>
        <w:fldChar w:fldCharType="separate"/>
      </w:r>
      <w:r>
        <w:t>2.审计工作经费绩效目标表</w:t>
      </w:r>
      <w:r>
        <w:fldChar w:fldCharType="end"/>
      </w:r>
    </w:p>
    <w:p>
      <w:pPr>
        <w:pStyle w:val="17"/>
        <w:tabs>
          <w:tab w:val="right" w:leader="dot" w:pos="9282"/>
        </w:tabs>
      </w:pPr>
      <w:r>
        <w:fldChar w:fldCharType="begin"/>
      </w:r>
      <w:r>
        <w:instrText xml:space="preserve"> HYPERLINK \l "_Toc_4_4_0000000006" </w:instrText>
      </w:r>
      <w:r>
        <w:fldChar w:fldCharType="separate"/>
      </w:r>
      <w:r>
        <w:t>3.审计业务培训费绩效目标表</w:t>
      </w:r>
      <w:r>
        <w:fldChar w:fldCharType="end"/>
      </w:r>
    </w:p>
    <w:p>
      <w:pPr>
        <w:pStyle w:val="17"/>
        <w:tabs>
          <w:tab w:val="right" w:leader="dot" w:pos="9282"/>
        </w:tabs>
      </w:pPr>
      <w:r>
        <w:fldChar w:fldCharType="begin"/>
      </w:r>
      <w:r>
        <w:instrText xml:space="preserve"> HYPERLINK \l "_Toc_4_4_0000000007" </w:instrText>
      </w:r>
      <w:r>
        <w:fldChar w:fldCharType="separate"/>
      </w:r>
      <w:r>
        <w:t>4.市审计局履职保障经费绩效目标表</w:t>
      </w:r>
      <w:r>
        <w:fldChar w:fldCharType="end"/>
      </w:r>
    </w:p>
    <w:p>
      <w:pPr>
        <w:pStyle w:val="17"/>
        <w:tabs>
          <w:tab w:val="right" w:leader="dot" w:pos="9282"/>
        </w:tabs>
      </w:pPr>
      <w:r>
        <w:fldChar w:fldCharType="begin"/>
      </w:r>
      <w:r>
        <w:instrText xml:space="preserve"> HYPERLINK \l "_Toc_4_4_0000000008" </w:instrText>
      </w:r>
      <w:r>
        <w:fldChar w:fldCharType="separate"/>
      </w:r>
      <w:r>
        <w:t>5.署拨工作经费-2025非财政绩效目标表</w:t>
      </w:r>
      <w:r>
        <w:fldChar w:fldCharType="end"/>
      </w:r>
    </w:p>
    <w:p>
      <w:pPr>
        <w:pStyle w:val="17"/>
        <w:tabs>
          <w:tab w:val="right" w:leader="dot" w:pos="9282"/>
        </w:tabs>
      </w:pPr>
      <w:r>
        <w:fldChar w:fldCharType="begin"/>
      </w:r>
      <w:r>
        <w:instrText xml:space="preserve"> HYPERLINK \l "_Toc_4_4_0000000009" </w:instrText>
      </w:r>
      <w:r>
        <w:fldChar w:fldCharType="separate"/>
      </w:r>
      <w:r>
        <w:t>6.天津市经济安全审计监督智慧治理平台-2024一般债绩效目标表</w:t>
      </w:r>
      <w:r>
        <w:fldChar w:fldCharType="end"/>
      </w:r>
    </w:p>
    <w:p>
      <w:pPr>
        <w:pStyle w:val="17"/>
        <w:tabs>
          <w:tab w:val="right" w:leader="dot" w:pos="9282"/>
        </w:tabs>
      </w:pPr>
      <w:r>
        <w:fldChar w:fldCharType="begin"/>
      </w:r>
      <w:r>
        <w:instrText xml:space="preserve"> HYPERLINK \l "_Toc_4_4_0000000010" </w:instrText>
      </w:r>
      <w:r>
        <w:fldChar w:fldCharType="separate"/>
      </w:r>
      <w:r>
        <w:t>7.天津市审计局一般债券利息-2025年债券利息绩效目标表</w:t>
      </w:r>
      <w:r>
        <w:fldChar w:fldCharType="end"/>
      </w:r>
    </w:p>
    <w:p>
      <w:pPr>
        <w:pStyle w:val="17"/>
        <w:tabs>
          <w:tab w:val="right" w:leader="dot" w:pos="9282"/>
        </w:tabs>
      </w:pPr>
      <w:r>
        <w:fldChar w:fldCharType="begin"/>
      </w:r>
      <w:r>
        <w:instrText xml:space="preserve"> HYPERLINK \l "_Toc_4_4_0000000011" </w:instrText>
      </w:r>
      <w:r>
        <w:fldChar w:fldCharType="separate"/>
      </w:r>
      <w:r>
        <w:t>8.新址办公楼搬迁费绩效目标表</w:t>
      </w:r>
      <w:r>
        <w:fldChar w:fldCharType="end"/>
      </w:r>
    </w:p>
    <w:p>
      <w:pPr>
        <w:pStyle w:val="17"/>
        <w:tabs>
          <w:tab w:val="right" w:leader="dot" w:pos="9282"/>
        </w:tabs>
        <w:sectPr>
          <w:footerReference r:id="rId9" w:type="default"/>
          <w:footerReference r:id="rId10" w:type="even"/>
          <w:pgSz w:w="11900" w:h="16840"/>
          <w:pgMar w:top="1984" w:right="1304" w:bottom="1134" w:left="1304" w:header="720" w:footer="720" w:gutter="0"/>
          <w:pgNumType w:start="1"/>
          <w:cols w:space="720" w:num="1"/>
        </w:sectPr>
      </w:pPr>
      <w:r>
        <w:fldChar w:fldCharType="begin"/>
      </w:r>
      <w:r>
        <w:instrText xml:space="preserve"> HYPERLINK \l "_Toc_4_4_0000000012" </w:instrText>
      </w:r>
      <w:r>
        <w:fldChar w:fldCharType="separate"/>
      </w:r>
      <w:r>
        <w:t>9.信息化运维项目经费绩效目标表</w:t>
      </w:r>
      <w:r>
        <w:fldChar w:fldCharType="end"/>
      </w:r>
      <w:r>
        <w:fldChar w:fldCharType="end"/>
      </w:r>
    </w:p>
    <w:p>
      <w:pPr>
        <w:ind w:firstLine="560"/>
        <w:outlineLvl w:val="3"/>
      </w:pPr>
      <w:bookmarkStart w:id="0" w:name="_Toc_4_4_0000000004"/>
      <w:r>
        <w:rPr>
          <w:rFonts w:ascii="方正仿宋_GBK" w:hAnsi="方正仿宋_GBK" w:eastAsia="方正仿宋_GBK" w:cs="方正仿宋_GBK"/>
          <w:sz w:val="28"/>
        </w:rPr>
        <w:t>1.档案数字化扫描经费绩效目标表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348101天津市审计局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档案数字化扫描经费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13.00</w:t>
            </w:r>
          </w:p>
        </w:tc>
        <w:tc>
          <w:tcPr>
            <w:tcW w:w="1587" w:type="dxa"/>
            <w:vAlign w:val="center"/>
          </w:tcPr>
          <w:p>
            <w:pPr>
              <w:pStyle w:val="13"/>
            </w:pPr>
            <w:r>
              <w:t>其中：财政    资金</w:t>
            </w:r>
          </w:p>
        </w:tc>
        <w:tc>
          <w:tcPr>
            <w:tcW w:w="1843" w:type="dxa"/>
            <w:vAlign w:val="center"/>
          </w:tcPr>
          <w:p>
            <w:pPr>
              <w:pStyle w:val="12"/>
            </w:pPr>
            <w:r>
              <w:t>13.00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用于采购档案扫描服务。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1.通过数字化加工扫描，提高档案信息化率,提高审计干部查阅档案效率。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扫描文件数量</w:t>
            </w:r>
          </w:p>
        </w:tc>
        <w:tc>
          <w:tcPr>
            <w:tcW w:w="3430" w:type="dxa"/>
            <w:vAlign w:val="center"/>
          </w:tcPr>
          <w:p>
            <w:pPr>
              <w:pStyle w:val="12"/>
            </w:pPr>
            <w:r>
              <w:t>扫描文件数量</w:t>
            </w:r>
          </w:p>
        </w:tc>
        <w:tc>
          <w:tcPr>
            <w:tcW w:w="2551" w:type="dxa"/>
            <w:vAlign w:val="center"/>
          </w:tcPr>
          <w:p>
            <w:pPr>
              <w:pStyle w:val="12"/>
            </w:pPr>
            <w:r>
              <w:t>≥30万页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扫描合格率</w:t>
            </w:r>
          </w:p>
        </w:tc>
        <w:tc>
          <w:tcPr>
            <w:tcW w:w="3430" w:type="dxa"/>
            <w:vAlign w:val="center"/>
          </w:tcPr>
          <w:p>
            <w:pPr>
              <w:pStyle w:val="12"/>
            </w:pPr>
            <w:r>
              <w:t>扫描合格率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按时完成率</w:t>
            </w:r>
          </w:p>
        </w:tc>
        <w:tc>
          <w:tcPr>
            <w:tcW w:w="3430" w:type="dxa"/>
            <w:vAlign w:val="center"/>
          </w:tcPr>
          <w:p>
            <w:pPr>
              <w:pStyle w:val="12"/>
            </w:pPr>
            <w:r>
              <w:t>按时完成率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成本指标</w:t>
            </w:r>
          </w:p>
        </w:tc>
        <w:tc>
          <w:tcPr>
            <w:tcW w:w="3430" w:type="dxa"/>
            <w:vAlign w:val="center"/>
          </w:tcPr>
          <w:p>
            <w:pPr>
              <w:pStyle w:val="12"/>
            </w:pPr>
            <w:r>
              <w:t>成本指标</w:t>
            </w:r>
          </w:p>
        </w:tc>
        <w:tc>
          <w:tcPr>
            <w:tcW w:w="2551" w:type="dxa"/>
            <w:vAlign w:val="center"/>
          </w:tcPr>
          <w:p>
            <w:pPr>
              <w:pStyle w:val="12"/>
            </w:pPr>
            <w:r>
              <w:t>≤13万元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提高审计档案查阅时效</w:t>
            </w:r>
          </w:p>
        </w:tc>
        <w:tc>
          <w:tcPr>
            <w:tcW w:w="3430" w:type="dxa"/>
            <w:vAlign w:val="center"/>
          </w:tcPr>
          <w:p>
            <w:pPr>
              <w:pStyle w:val="12"/>
            </w:pPr>
            <w:r>
              <w:t>提高审计档案查阅时效</w:t>
            </w:r>
          </w:p>
        </w:tc>
        <w:tc>
          <w:tcPr>
            <w:tcW w:w="2551" w:type="dxa"/>
            <w:vAlign w:val="center"/>
          </w:tcPr>
          <w:p>
            <w:pPr>
              <w:pStyle w:val="12"/>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审计干部满意度</w:t>
            </w:r>
          </w:p>
        </w:tc>
        <w:tc>
          <w:tcPr>
            <w:tcW w:w="3430" w:type="dxa"/>
            <w:vAlign w:val="center"/>
          </w:tcPr>
          <w:p>
            <w:pPr>
              <w:pStyle w:val="12"/>
            </w:pPr>
            <w:r>
              <w:t>审计干部满意度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5"/>
      <w:r>
        <w:rPr>
          <w:rFonts w:ascii="方正仿宋_GBK" w:hAnsi="方正仿宋_GBK" w:eastAsia="方正仿宋_GBK" w:cs="方正仿宋_GBK"/>
          <w:sz w:val="28"/>
        </w:rPr>
        <w:t>2.审计工作经费绩效目标表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348101天津市审计局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审计工作经费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1360.00</w:t>
            </w:r>
          </w:p>
        </w:tc>
        <w:tc>
          <w:tcPr>
            <w:tcW w:w="1587" w:type="dxa"/>
            <w:vAlign w:val="center"/>
          </w:tcPr>
          <w:p>
            <w:pPr>
              <w:pStyle w:val="13"/>
            </w:pPr>
            <w:r>
              <w:t>其中：财政    资金</w:t>
            </w:r>
          </w:p>
        </w:tc>
        <w:tc>
          <w:tcPr>
            <w:tcW w:w="1843" w:type="dxa"/>
            <w:vAlign w:val="center"/>
          </w:tcPr>
          <w:p>
            <w:pPr>
              <w:pStyle w:val="12"/>
            </w:pPr>
            <w:r>
              <w:t>1360.00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用于开展审计业务工作。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1.通过履行审计职责，开展各类审计项目及相关活动，维护财政资金安全，提高财政资金效益，规范财务运行，有效揭示财经领域违法犯罪，推动相关部门和单位规范管理。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审计项目数量</w:t>
            </w:r>
          </w:p>
        </w:tc>
        <w:tc>
          <w:tcPr>
            <w:tcW w:w="3430" w:type="dxa"/>
            <w:vAlign w:val="center"/>
          </w:tcPr>
          <w:p>
            <w:pPr>
              <w:pStyle w:val="12"/>
            </w:pPr>
            <w:r>
              <w:t>反映全年完成审计项目的个数</w:t>
            </w:r>
          </w:p>
        </w:tc>
        <w:tc>
          <w:tcPr>
            <w:tcW w:w="2551" w:type="dxa"/>
            <w:vAlign w:val="center"/>
          </w:tcPr>
          <w:p>
            <w:pPr>
              <w:pStyle w:val="12"/>
            </w:pPr>
            <w:r>
              <w:t>≥71项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提出审计建议数量</w:t>
            </w:r>
          </w:p>
        </w:tc>
        <w:tc>
          <w:tcPr>
            <w:tcW w:w="3430" w:type="dxa"/>
            <w:vAlign w:val="center"/>
          </w:tcPr>
          <w:p>
            <w:pPr>
              <w:pStyle w:val="12"/>
            </w:pPr>
            <w:r>
              <w:t>反映提出审计建议数量</w:t>
            </w:r>
          </w:p>
        </w:tc>
        <w:tc>
          <w:tcPr>
            <w:tcW w:w="2551" w:type="dxa"/>
            <w:vAlign w:val="center"/>
          </w:tcPr>
          <w:p>
            <w:pPr>
              <w:pStyle w:val="12"/>
            </w:pPr>
            <w:r>
              <w:t>≥200条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审计中级及以上资格标准占比</w:t>
            </w:r>
          </w:p>
        </w:tc>
        <w:tc>
          <w:tcPr>
            <w:tcW w:w="3430" w:type="dxa"/>
            <w:vAlign w:val="center"/>
          </w:tcPr>
          <w:p>
            <w:pPr>
              <w:pStyle w:val="12"/>
            </w:pPr>
            <w:r>
              <w:t>反映审计执法人员中具有审计中级及以上人员占有的比率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审计计划完成率</w:t>
            </w:r>
          </w:p>
        </w:tc>
        <w:tc>
          <w:tcPr>
            <w:tcW w:w="3430" w:type="dxa"/>
            <w:vAlign w:val="center"/>
          </w:tcPr>
          <w:p>
            <w:pPr>
              <w:pStyle w:val="12"/>
            </w:pPr>
            <w:r>
              <w:t>已审计项目占审计计划项目的比例</w:t>
            </w:r>
          </w:p>
        </w:tc>
        <w:tc>
          <w:tcPr>
            <w:tcW w:w="2551" w:type="dxa"/>
            <w:vAlign w:val="center"/>
          </w:tcPr>
          <w:p>
            <w:pPr>
              <w:pStyle w:val="12"/>
            </w:pPr>
            <w: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未按时完成审计项目的数量</w:t>
            </w:r>
          </w:p>
        </w:tc>
        <w:tc>
          <w:tcPr>
            <w:tcW w:w="3430" w:type="dxa"/>
            <w:vAlign w:val="center"/>
          </w:tcPr>
          <w:p>
            <w:pPr>
              <w:pStyle w:val="12"/>
            </w:pPr>
            <w:r>
              <w:t>反映未按时完成的审计项目个数</w:t>
            </w:r>
          </w:p>
        </w:tc>
        <w:tc>
          <w:tcPr>
            <w:tcW w:w="2551" w:type="dxa"/>
            <w:vAlign w:val="center"/>
          </w:tcPr>
          <w:p>
            <w:pPr>
              <w:pStyle w:val="12"/>
            </w:pPr>
            <w:r>
              <w:t>≤6项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委托第三方审计服务人均</w:t>
            </w:r>
          </w:p>
        </w:tc>
        <w:tc>
          <w:tcPr>
            <w:tcW w:w="3430" w:type="dxa"/>
            <w:vAlign w:val="center"/>
          </w:tcPr>
          <w:p>
            <w:pPr>
              <w:pStyle w:val="12"/>
            </w:pPr>
            <w:r>
              <w:t>反映委托第三方审计服务人均成本</w:t>
            </w:r>
          </w:p>
        </w:tc>
        <w:tc>
          <w:tcPr>
            <w:tcW w:w="2551" w:type="dxa"/>
            <w:vAlign w:val="center"/>
          </w:tcPr>
          <w:p>
            <w:pPr>
              <w:pStyle w:val="12"/>
            </w:pPr>
            <w:r>
              <w:t>≤1300元/人/天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市内审计外勤住宿支出标准</w:t>
            </w:r>
          </w:p>
        </w:tc>
        <w:tc>
          <w:tcPr>
            <w:tcW w:w="3430" w:type="dxa"/>
            <w:vAlign w:val="center"/>
          </w:tcPr>
          <w:p>
            <w:pPr>
              <w:pStyle w:val="12"/>
            </w:pPr>
            <w:r>
              <w:t>反映市内审计外勤住宿支出标准</w:t>
            </w:r>
          </w:p>
        </w:tc>
        <w:tc>
          <w:tcPr>
            <w:tcW w:w="2551" w:type="dxa"/>
            <w:vAlign w:val="center"/>
          </w:tcPr>
          <w:p>
            <w:pPr>
              <w:pStyle w:val="12"/>
            </w:pPr>
            <w:r>
              <w:t>≤300元/人/天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促进增收、挽回损失金额</w:t>
            </w:r>
          </w:p>
        </w:tc>
        <w:tc>
          <w:tcPr>
            <w:tcW w:w="3430" w:type="dxa"/>
            <w:vAlign w:val="center"/>
          </w:tcPr>
          <w:p>
            <w:pPr>
              <w:pStyle w:val="12"/>
            </w:pPr>
            <w:r>
              <w:t>反映通过审计，促进增收、挽回损失金额</w:t>
            </w:r>
          </w:p>
        </w:tc>
        <w:tc>
          <w:tcPr>
            <w:tcW w:w="2551" w:type="dxa"/>
            <w:vAlign w:val="center"/>
          </w:tcPr>
          <w:p>
            <w:pPr>
              <w:pStyle w:val="12"/>
            </w:pPr>
            <w:r>
              <w:t>≥7000万元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根据审计建议建立健全规章制度数量</w:t>
            </w:r>
          </w:p>
        </w:tc>
        <w:tc>
          <w:tcPr>
            <w:tcW w:w="3430" w:type="dxa"/>
            <w:vAlign w:val="center"/>
          </w:tcPr>
          <w:p>
            <w:pPr>
              <w:pStyle w:val="12"/>
            </w:pPr>
            <w:r>
              <w:t>反映被审计单位根据审计建议建立健全规章制度的数量</w:t>
            </w:r>
          </w:p>
        </w:tc>
        <w:tc>
          <w:tcPr>
            <w:tcW w:w="2551" w:type="dxa"/>
            <w:vAlign w:val="center"/>
          </w:tcPr>
          <w:p>
            <w:pPr>
              <w:pStyle w:val="12"/>
            </w:pPr>
            <w:r>
              <w:t>≥60项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移送重大案件线索和事项的数量</w:t>
            </w:r>
          </w:p>
        </w:tc>
        <w:tc>
          <w:tcPr>
            <w:tcW w:w="3430" w:type="dxa"/>
            <w:vAlign w:val="center"/>
          </w:tcPr>
          <w:p>
            <w:pPr>
              <w:pStyle w:val="12"/>
            </w:pPr>
            <w:r>
              <w:t>反映审计移送情况</w:t>
            </w:r>
          </w:p>
        </w:tc>
        <w:tc>
          <w:tcPr>
            <w:tcW w:w="2551" w:type="dxa"/>
            <w:vAlign w:val="center"/>
          </w:tcPr>
          <w:p>
            <w:pPr>
              <w:pStyle w:val="12"/>
            </w:pPr>
            <w:r>
              <w:t>≥60件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审计违纪投诉率</w:t>
            </w:r>
          </w:p>
        </w:tc>
        <w:tc>
          <w:tcPr>
            <w:tcW w:w="3430" w:type="dxa"/>
            <w:vAlign w:val="center"/>
          </w:tcPr>
          <w:p>
            <w:pPr>
              <w:pStyle w:val="12"/>
            </w:pPr>
            <w:r>
              <w:t>在对审计人员依法审计、廉洁审计、文明审计方面投诉的审计项目数量占合部审计项目的比例</w:t>
            </w:r>
          </w:p>
        </w:tc>
        <w:tc>
          <w:tcPr>
            <w:tcW w:w="2551" w:type="dxa"/>
            <w:vAlign w:val="center"/>
          </w:tcPr>
          <w:p>
            <w:pPr>
              <w:pStyle w:val="12"/>
            </w:pPr>
            <w:r>
              <w:t>≤5%</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6"/>
      <w:r>
        <w:rPr>
          <w:rFonts w:ascii="方正仿宋_GBK" w:hAnsi="方正仿宋_GBK" w:eastAsia="方正仿宋_GBK" w:cs="方正仿宋_GBK"/>
          <w:sz w:val="28"/>
        </w:rPr>
        <w:t>3.审计业务培训费绩效目标表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348101天津市审计局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审计业务培训费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w:t>
            </w:r>
          </w:p>
        </w:tc>
        <w:tc>
          <w:tcPr>
            <w:tcW w:w="1587" w:type="dxa"/>
            <w:vAlign w:val="center"/>
          </w:tcPr>
          <w:p>
            <w:pPr>
              <w:pStyle w:val="13"/>
            </w:pPr>
            <w:r>
              <w:t>其中：财政    资金</w:t>
            </w:r>
          </w:p>
        </w:tc>
        <w:tc>
          <w:tcPr>
            <w:tcW w:w="1843" w:type="dxa"/>
            <w:vAlign w:val="center"/>
          </w:tcPr>
          <w:p>
            <w:pPr>
              <w:pStyle w:val="12"/>
            </w:pPr>
            <w:r>
              <w:t>25.00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用于市审计局开展业务培训支出。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 通过开展审计专业等相关培训，帮助干部弥补专业知识弱项、能力短板、经验盲区，丰富履职所需的专业知识，全面提高审计干部专业素养和履职能力，为确保审计工作高质量完成和天津审计事业健康发展提供人才和智力支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培训次数</w:t>
            </w:r>
          </w:p>
        </w:tc>
        <w:tc>
          <w:tcPr>
            <w:tcW w:w="3430" w:type="dxa"/>
            <w:vAlign w:val="center"/>
          </w:tcPr>
          <w:p>
            <w:pPr>
              <w:pStyle w:val="12"/>
            </w:pPr>
            <w:r>
              <w:t>反映培训次数情况</w:t>
            </w:r>
          </w:p>
        </w:tc>
        <w:tc>
          <w:tcPr>
            <w:tcW w:w="2551" w:type="dxa"/>
            <w:vAlign w:val="center"/>
          </w:tcPr>
          <w:p>
            <w:pPr>
              <w:pStyle w:val="12"/>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履职能力培训</w:t>
            </w:r>
          </w:p>
        </w:tc>
        <w:tc>
          <w:tcPr>
            <w:tcW w:w="3430" w:type="dxa"/>
            <w:vAlign w:val="center"/>
          </w:tcPr>
          <w:p>
            <w:pPr>
              <w:pStyle w:val="12"/>
            </w:pPr>
            <w:r>
              <w:t xml:space="preserve"> 反映履职能力培训情况</w:t>
            </w:r>
          </w:p>
        </w:tc>
        <w:tc>
          <w:tcPr>
            <w:tcW w:w="2551" w:type="dxa"/>
            <w:vAlign w:val="center"/>
          </w:tcPr>
          <w:p>
            <w:pPr>
              <w:pStyle w:val="12"/>
            </w:pPr>
            <w:r>
              <w:t>≥16次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培训讲师职级达到高级职称的人数</w:t>
            </w:r>
          </w:p>
        </w:tc>
        <w:tc>
          <w:tcPr>
            <w:tcW w:w="3430" w:type="dxa"/>
            <w:vAlign w:val="center"/>
          </w:tcPr>
          <w:p>
            <w:pPr>
              <w:pStyle w:val="12"/>
            </w:pPr>
            <w:r>
              <w:t>反映培训讲师职级达到高级职称的人数情况</w:t>
            </w:r>
          </w:p>
        </w:tc>
        <w:tc>
          <w:tcPr>
            <w:tcW w:w="2551" w:type="dxa"/>
            <w:vAlign w:val="center"/>
          </w:tcPr>
          <w:p>
            <w:pPr>
              <w:pStyle w:val="12"/>
            </w:pPr>
            <w:r>
              <w:t>≥8次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12月31日资金支出进度</w:t>
            </w:r>
          </w:p>
        </w:tc>
        <w:tc>
          <w:tcPr>
            <w:tcW w:w="3430" w:type="dxa"/>
            <w:vAlign w:val="center"/>
          </w:tcPr>
          <w:p>
            <w:pPr>
              <w:pStyle w:val="12"/>
            </w:pPr>
            <w:r>
              <w:t>反映12月31日资金支出进度情况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培训成本</w:t>
            </w:r>
          </w:p>
        </w:tc>
        <w:tc>
          <w:tcPr>
            <w:tcW w:w="3430" w:type="dxa"/>
            <w:vAlign w:val="center"/>
          </w:tcPr>
          <w:p>
            <w:pPr>
              <w:pStyle w:val="12"/>
            </w:pPr>
            <w:r>
              <w:t>反映培训成本情况</w:t>
            </w:r>
          </w:p>
        </w:tc>
        <w:tc>
          <w:tcPr>
            <w:tcW w:w="2551" w:type="dxa"/>
            <w:vAlign w:val="center"/>
          </w:tcPr>
          <w:p>
            <w:pPr>
              <w:pStyle w:val="1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提高审计人员业务水平</w:t>
            </w:r>
          </w:p>
        </w:tc>
        <w:tc>
          <w:tcPr>
            <w:tcW w:w="3430" w:type="dxa"/>
            <w:vAlign w:val="center"/>
          </w:tcPr>
          <w:p>
            <w:pPr>
              <w:pStyle w:val="12"/>
            </w:pPr>
            <w:r>
              <w:t>反映提高审计人员业务水平情况</w:t>
            </w:r>
          </w:p>
        </w:tc>
        <w:tc>
          <w:tcPr>
            <w:tcW w:w="2551" w:type="dxa"/>
            <w:vAlign w:val="center"/>
          </w:tcPr>
          <w:p>
            <w:pPr>
              <w:pStyle w:val="12"/>
            </w:pPr>
            <w:r>
              <w:t>优良中低差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培训干部满意度</w:t>
            </w:r>
          </w:p>
        </w:tc>
        <w:tc>
          <w:tcPr>
            <w:tcW w:w="3430" w:type="dxa"/>
            <w:vAlign w:val="center"/>
          </w:tcPr>
          <w:p>
            <w:pPr>
              <w:pStyle w:val="12"/>
            </w:pPr>
            <w:r>
              <w:t>反映培训干部满意度情况</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7"/>
      <w:r>
        <w:rPr>
          <w:rFonts w:ascii="方正仿宋_GBK" w:hAnsi="方正仿宋_GBK" w:eastAsia="方正仿宋_GBK" w:cs="方正仿宋_GBK"/>
          <w:sz w:val="28"/>
        </w:rPr>
        <w:t>4.市审计局履职保障经费绩效目标表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348101天津市审计局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市审计局履职保障经费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590.00</w:t>
            </w:r>
          </w:p>
        </w:tc>
        <w:tc>
          <w:tcPr>
            <w:tcW w:w="1587" w:type="dxa"/>
            <w:vAlign w:val="center"/>
          </w:tcPr>
          <w:p>
            <w:pPr>
              <w:pStyle w:val="13"/>
            </w:pPr>
            <w:r>
              <w:t>其中：财政    资金</w:t>
            </w:r>
          </w:p>
        </w:tc>
        <w:tc>
          <w:tcPr>
            <w:tcW w:w="1843" w:type="dxa"/>
            <w:vAlign w:val="center"/>
          </w:tcPr>
          <w:p>
            <w:pPr>
              <w:pStyle w:val="12"/>
            </w:pPr>
            <w:r>
              <w:t>590.00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用于租赁办公用房。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1.通过租赁办公用房，保障机关日常运转。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新址租赁办公用房面积</w:t>
            </w:r>
          </w:p>
        </w:tc>
        <w:tc>
          <w:tcPr>
            <w:tcW w:w="3430" w:type="dxa"/>
            <w:vAlign w:val="center"/>
          </w:tcPr>
          <w:p>
            <w:pPr>
              <w:pStyle w:val="12"/>
            </w:pPr>
            <w:r>
              <w:t>反映租赁新址办公用房面积</w:t>
            </w:r>
          </w:p>
        </w:tc>
        <w:tc>
          <w:tcPr>
            <w:tcW w:w="2551" w:type="dxa"/>
            <w:vAlign w:val="center"/>
          </w:tcPr>
          <w:p>
            <w:pPr>
              <w:pStyle w:val="12"/>
            </w:pPr>
            <w:r>
              <w:t>16546.33平方米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维护电梯数量</w:t>
            </w:r>
          </w:p>
        </w:tc>
        <w:tc>
          <w:tcPr>
            <w:tcW w:w="3430" w:type="dxa"/>
            <w:vAlign w:val="center"/>
          </w:tcPr>
          <w:p>
            <w:pPr>
              <w:pStyle w:val="12"/>
            </w:pPr>
            <w:r>
              <w:t>反映电梯的设备数量</w:t>
            </w:r>
          </w:p>
        </w:tc>
        <w:tc>
          <w:tcPr>
            <w:tcW w:w="2551" w:type="dxa"/>
            <w:vAlign w:val="center"/>
          </w:tcPr>
          <w:p>
            <w:pPr>
              <w:pStyle w:val="12"/>
            </w:pPr>
            <w:r>
              <w:t>4部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办公设备完好率</w:t>
            </w:r>
          </w:p>
        </w:tc>
        <w:tc>
          <w:tcPr>
            <w:tcW w:w="3430" w:type="dxa"/>
            <w:vAlign w:val="center"/>
          </w:tcPr>
          <w:p>
            <w:pPr>
              <w:pStyle w:val="12"/>
            </w:pPr>
            <w:r>
              <w:t>反映办公设备使用情况</w:t>
            </w:r>
          </w:p>
        </w:tc>
        <w:tc>
          <w:tcPr>
            <w:tcW w:w="2551" w:type="dxa"/>
            <w:vAlign w:val="center"/>
          </w:tcPr>
          <w:p>
            <w:pPr>
              <w:pStyle w:val="12"/>
            </w:pPr>
            <w:r>
              <w:t>设施齐全，正常运转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电梯正常运转率</w:t>
            </w:r>
          </w:p>
        </w:tc>
        <w:tc>
          <w:tcPr>
            <w:tcW w:w="3430" w:type="dxa"/>
            <w:vAlign w:val="center"/>
          </w:tcPr>
          <w:p>
            <w:pPr>
              <w:pStyle w:val="12"/>
            </w:pPr>
            <w:r>
              <w:t>反映电梯正常运转情况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租金支付时限</w:t>
            </w:r>
          </w:p>
        </w:tc>
        <w:tc>
          <w:tcPr>
            <w:tcW w:w="3430" w:type="dxa"/>
            <w:vAlign w:val="center"/>
          </w:tcPr>
          <w:p>
            <w:pPr>
              <w:pStyle w:val="12"/>
            </w:pPr>
            <w:r>
              <w:t>反映租金支付情况</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租赁经费</w:t>
            </w:r>
          </w:p>
        </w:tc>
        <w:tc>
          <w:tcPr>
            <w:tcW w:w="3430" w:type="dxa"/>
            <w:vAlign w:val="center"/>
          </w:tcPr>
          <w:p>
            <w:pPr>
              <w:pStyle w:val="12"/>
            </w:pPr>
            <w:r>
              <w:t>反映年度租金及物业费情况</w:t>
            </w:r>
          </w:p>
        </w:tc>
        <w:tc>
          <w:tcPr>
            <w:tcW w:w="2551" w:type="dxa"/>
            <w:vAlign w:val="center"/>
          </w:tcPr>
          <w:p>
            <w:pPr>
              <w:pStyle w:val="12"/>
            </w:pPr>
            <w:r>
              <w:t>≤590万元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保障机关正常运转</w:t>
            </w:r>
          </w:p>
        </w:tc>
        <w:tc>
          <w:tcPr>
            <w:tcW w:w="3430" w:type="dxa"/>
            <w:vAlign w:val="center"/>
          </w:tcPr>
          <w:p>
            <w:pPr>
              <w:pStyle w:val="12"/>
            </w:pPr>
            <w:r>
              <w:t>反映办公用房保障机关正常履职情况</w:t>
            </w:r>
          </w:p>
        </w:tc>
        <w:tc>
          <w:tcPr>
            <w:tcW w:w="2551" w:type="dxa"/>
            <w:vAlign w:val="center"/>
          </w:tcPr>
          <w:p>
            <w:pPr>
              <w:pStyle w:val="12"/>
            </w:pPr>
            <w:r>
              <w:t>优良中低差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机关干部满意度</w:t>
            </w:r>
          </w:p>
        </w:tc>
        <w:tc>
          <w:tcPr>
            <w:tcW w:w="3430" w:type="dxa"/>
            <w:vAlign w:val="center"/>
          </w:tcPr>
          <w:p>
            <w:pPr>
              <w:pStyle w:val="12"/>
            </w:pPr>
            <w:r>
              <w:t>反映受益群体满意度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8"/>
      <w:bookmarkStart w:id="9" w:name="_GoBack"/>
      <w:bookmarkEnd w:id="9"/>
      <w:r>
        <w:rPr>
          <w:rFonts w:ascii="方正仿宋_GBK" w:hAnsi="方正仿宋_GBK" w:eastAsia="方正仿宋_GBK" w:cs="方正仿宋_GBK"/>
          <w:sz w:val="28"/>
        </w:rPr>
        <w:t>5.署拨工作经费-2025非财政绩效目标表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348101天津市审计局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署拨工作经费-2025非财政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220.00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220.00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用于署统一组织审计项目支出。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1.通过履行审计职责，开展各类审计项目，维护财政资金安全，提高财政资金效益，规范财务运行，有效揭示财经领域违法犯罪，推动相关部门和单位规范管理。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提出审计建议（条）</w:t>
            </w:r>
          </w:p>
        </w:tc>
        <w:tc>
          <w:tcPr>
            <w:tcW w:w="3430" w:type="dxa"/>
            <w:vAlign w:val="center"/>
          </w:tcPr>
          <w:p>
            <w:pPr>
              <w:pStyle w:val="12"/>
            </w:pPr>
            <w:r>
              <w:t>提出审计建议（条）</w:t>
            </w:r>
          </w:p>
        </w:tc>
        <w:tc>
          <w:tcPr>
            <w:tcW w:w="2551" w:type="dxa"/>
            <w:vAlign w:val="center"/>
          </w:tcPr>
          <w:p>
            <w:pPr>
              <w:pStyle w:val="12"/>
            </w:pPr>
            <w:r>
              <w:t>≥8条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提交各类审计报告和信息简报数量（篇）</w:t>
            </w:r>
          </w:p>
        </w:tc>
        <w:tc>
          <w:tcPr>
            <w:tcW w:w="3430" w:type="dxa"/>
            <w:vAlign w:val="center"/>
          </w:tcPr>
          <w:p>
            <w:pPr>
              <w:pStyle w:val="12"/>
            </w:pPr>
            <w:r>
              <w:t>提交各类审计报告和信息简报数量（篇）</w:t>
            </w:r>
          </w:p>
        </w:tc>
        <w:tc>
          <w:tcPr>
            <w:tcW w:w="2551" w:type="dxa"/>
            <w:vAlign w:val="center"/>
          </w:tcPr>
          <w:p>
            <w:pPr>
              <w:pStyle w:val="12"/>
            </w:pPr>
            <w:r>
              <w:t>≥4篇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审计程序合规合法性</w:t>
            </w:r>
          </w:p>
        </w:tc>
        <w:tc>
          <w:tcPr>
            <w:tcW w:w="3430" w:type="dxa"/>
            <w:vAlign w:val="center"/>
          </w:tcPr>
          <w:p>
            <w:pPr>
              <w:pStyle w:val="12"/>
            </w:pPr>
            <w:r>
              <w:t>反映审计通知书送达、审计底稿取证、审计报告征求意见、审计档案归档等情况。</w:t>
            </w:r>
          </w:p>
        </w:tc>
        <w:tc>
          <w:tcPr>
            <w:tcW w:w="2551" w:type="dxa"/>
            <w:vAlign w:val="center"/>
          </w:tcPr>
          <w:p>
            <w:pPr>
              <w:pStyle w:val="12"/>
            </w:pPr>
            <w:r>
              <w:t>反映审计通知书送达、审计底稿取证、审计报告征求意见、审计档案归档等情况。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未按时完成的审计项目（个）</w:t>
            </w:r>
          </w:p>
        </w:tc>
        <w:tc>
          <w:tcPr>
            <w:tcW w:w="3430" w:type="dxa"/>
            <w:vAlign w:val="center"/>
          </w:tcPr>
          <w:p>
            <w:pPr>
              <w:pStyle w:val="12"/>
            </w:pPr>
            <w:r>
              <w:t>未按时完成的审计项目（个）</w:t>
            </w:r>
          </w:p>
        </w:tc>
        <w:tc>
          <w:tcPr>
            <w:tcW w:w="2551" w:type="dxa"/>
            <w:vAlign w:val="center"/>
          </w:tcPr>
          <w:p>
            <w:pPr>
              <w:pStyle w:val="12"/>
            </w:pPr>
            <w:r>
              <w:t>≤0个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市内审计外勤住宿成本</w:t>
            </w:r>
          </w:p>
        </w:tc>
        <w:tc>
          <w:tcPr>
            <w:tcW w:w="3430" w:type="dxa"/>
            <w:vAlign w:val="center"/>
          </w:tcPr>
          <w:p>
            <w:pPr>
              <w:pStyle w:val="12"/>
            </w:pPr>
            <w:r>
              <w:t>市内审计外勤住宿成本</w:t>
            </w:r>
          </w:p>
        </w:tc>
        <w:tc>
          <w:tcPr>
            <w:tcW w:w="2551" w:type="dxa"/>
            <w:vAlign w:val="center"/>
          </w:tcPr>
          <w:p>
            <w:pPr>
              <w:pStyle w:val="12"/>
            </w:pPr>
            <w:r>
              <w:t>≤300元/人/天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被审计单位调账处理（万元）</w:t>
            </w:r>
          </w:p>
        </w:tc>
        <w:tc>
          <w:tcPr>
            <w:tcW w:w="3430" w:type="dxa"/>
            <w:vAlign w:val="center"/>
          </w:tcPr>
          <w:p>
            <w:pPr>
              <w:pStyle w:val="12"/>
            </w:pPr>
            <w:r>
              <w:t>被审计单位调账处理（万元）</w:t>
            </w:r>
          </w:p>
        </w:tc>
        <w:tc>
          <w:tcPr>
            <w:tcW w:w="2551" w:type="dxa"/>
            <w:vAlign w:val="center"/>
          </w:tcPr>
          <w:p>
            <w:pPr>
              <w:pStyle w:val="1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根据审计建议建立健全规章制度数量</w:t>
            </w:r>
          </w:p>
        </w:tc>
        <w:tc>
          <w:tcPr>
            <w:tcW w:w="3430" w:type="dxa"/>
            <w:vAlign w:val="center"/>
          </w:tcPr>
          <w:p>
            <w:pPr>
              <w:pStyle w:val="12"/>
            </w:pPr>
            <w:r>
              <w:t>反映被审计单位根据审计建议建立健全规章制度的数量</w:t>
            </w:r>
          </w:p>
        </w:tc>
        <w:tc>
          <w:tcPr>
            <w:tcW w:w="2551" w:type="dxa"/>
            <w:vAlign w:val="center"/>
          </w:tcPr>
          <w:p>
            <w:pPr>
              <w:pStyle w:val="12"/>
            </w:pPr>
            <w:r>
              <w:t>≥4项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审计违纪投诉率</w:t>
            </w:r>
          </w:p>
        </w:tc>
        <w:tc>
          <w:tcPr>
            <w:tcW w:w="3430" w:type="dxa"/>
            <w:vAlign w:val="center"/>
          </w:tcPr>
          <w:p>
            <w:pPr>
              <w:pStyle w:val="12"/>
            </w:pPr>
            <w:r>
              <w:t>在对审计人员依法审计、廉洁审计、文明审计方面投诉的审计项目数量占合部审计项目的比例</w:t>
            </w:r>
          </w:p>
        </w:tc>
        <w:tc>
          <w:tcPr>
            <w:tcW w:w="2551" w:type="dxa"/>
            <w:vAlign w:val="center"/>
          </w:tcPr>
          <w:p>
            <w:pPr>
              <w:pStyle w:val="12"/>
            </w:pPr>
            <w:r>
              <w:t>≤5%</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9"/>
      <w:r>
        <w:rPr>
          <w:rFonts w:ascii="方正仿宋_GBK" w:hAnsi="方正仿宋_GBK" w:eastAsia="方正仿宋_GBK" w:cs="方正仿宋_GBK"/>
          <w:sz w:val="28"/>
        </w:rPr>
        <w:t>6.天津市经济安全审计监督智慧治理平台-2024一般债绩效目标表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348101天津市审计局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天津市经济安全审计监督智慧治理平台-2024一般债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339.00</w:t>
            </w:r>
          </w:p>
        </w:tc>
        <w:tc>
          <w:tcPr>
            <w:tcW w:w="1587" w:type="dxa"/>
            <w:vAlign w:val="center"/>
          </w:tcPr>
          <w:p>
            <w:pPr>
              <w:pStyle w:val="13"/>
            </w:pPr>
            <w:r>
              <w:t>其中：财政    资金</w:t>
            </w:r>
          </w:p>
        </w:tc>
        <w:tc>
          <w:tcPr>
            <w:tcW w:w="1843" w:type="dxa"/>
            <w:vAlign w:val="center"/>
          </w:tcPr>
          <w:p>
            <w:pPr>
              <w:pStyle w:val="12"/>
            </w:pPr>
            <w:r>
              <w:t>339.00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用于开发建设审计监督智慧治理平台。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围绕全市经济安全重点任务，充分利用金审三期系统建设成果和市电子政务网网络和市数据发展中心数据、算力等资源，深度应用智能化技术手段，建设数据标准统一、安全高效、应用灵活且简便易用的天津市经济安全审计监督智慧治理平台，全方位、全量梳理审计基础数据，深度分析经济安全审计各应用场景，设计开发一批智能化审计模型，多维度综合可视化展示审计模型运行碰撞结果、智能审计结果，为市委市政府开展经济安全决策提供审计支撑。进一步提升内部审计效能，规范政府部门和国有企业的内控管理，实现国家审计与内部审计大数据资源的共享，将经济监督的关口前移，充分发挥内部审计的免疫作用，贯通、叠加内部审计和国家审计，扩展联防作用。通过建立财政、金融、民生等市域经济安全指标体系，以审计视角全方位、立体化进行经济安全风险预警提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部署数据治理工具数量</w:t>
            </w:r>
          </w:p>
        </w:tc>
        <w:tc>
          <w:tcPr>
            <w:tcW w:w="3430" w:type="dxa"/>
            <w:vAlign w:val="center"/>
          </w:tcPr>
          <w:p>
            <w:pPr>
              <w:pStyle w:val="12"/>
            </w:pPr>
            <w:r>
              <w:t>部署数据治理工具</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设备购置质量合格率</w:t>
            </w:r>
          </w:p>
        </w:tc>
        <w:tc>
          <w:tcPr>
            <w:tcW w:w="3430" w:type="dxa"/>
            <w:vAlign w:val="center"/>
          </w:tcPr>
          <w:p>
            <w:pPr>
              <w:pStyle w:val="12"/>
            </w:pPr>
            <w:r>
              <w:t>购置设备符合相关质量要求</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系统一般故障修复处理时间</w:t>
            </w:r>
          </w:p>
        </w:tc>
        <w:tc>
          <w:tcPr>
            <w:tcW w:w="3430" w:type="dxa"/>
            <w:vAlign w:val="center"/>
          </w:tcPr>
          <w:p>
            <w:pPr>
              <w:pStyle w:val="12"/>
            </w:pPr>
            <w:r>
              <w:t>处置一般故障的时间</w:t>
            </w:r>
          </w:p>
        </w:tc>
        <w:tc>
          <w:tcPr>
            <w:tcW w:w="2551" w:type="dxa"/>
            <w:vAlign w:val="center"/>
          </w:tcPr>
          <w:p>
            <w:pPr>
              <w:pStyle w:val="12"/>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系统严重故障修复处理时间</w:t>
            </w:r>
          </w:p>
        </w:tc>
        <w:tc>
          <w:tcPr>
            <w:tcW w:w="3430" w:type="dxa"/>
            <w:vAlign w:val="center"/>
          </w:tcPr>
          <w:p>
            <w:pPr>
              <w:pStyle w:val="12"/>
            </w:pPr>
            <w:r>
              <w:t>处置严重故障的时间</w:t>
            </w:r>
          </w:p>
        </w:tc>
        <w:tc>
          <w:tcPr>
            <w:tcW w:w="2551" w:type="dxa"/>
            <w:vAlign w:val="center"/>
          </w:tcPr>
          <w:p>
            <w:pPr>
              <w:pStyle w:val="12"/>
            </w:pPr>
            <w:r>
              <w:t>≤2工作日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3430" w:type="dxa"/>
            <w:vAlign w:val="center"/>
          </w:tcPr>
          <w:p>
            <w:pPr>
              <w:pStyle w:val="12"/>
            </w:pPr>
            <w:r>
              <w:t>项目资金投入</w:t>
            </w:r>
          </w:p>
        </w:tc>
        <w:tc>
          <w:tcPr>
            <w:tcW w:w="2551" w:type="dxa"/>
            <w:vAlign w:val="center"/>
          </w:tcPr>
          <w:p>
            <w:pPr>
              <w:pStyle w:val="12"/>
            </w:pPr>
            <w:r>
              <w:t>≤339万元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网格化管理覆盖率</w:t>
            </w:r>
          </w:p>
        </w:tc>
        <w:tc>
          <w:tcPr>
            <w:tcW w:w="3430" w:type="dxa"/>
            <w:vAlign w:val="center"/>
          </w:tcPr>
          <w:p>
            <w:pPr>
              <w:pStyle w:val="12"/>
            </w:pPr>
            <w:r>
              <w:t>确保网格化管理工作的全面性和有效性，将网格化管理广泛、深入地覆盖到各个关键单位</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系统使用满意度</w:t>
            </w:r>
          </w:p>
        </w:tc>
        <w:tc>
          <w:tcPr>
            <w:tcW w:w="3430" w:type="dxa"/>
            <w:vAlign w:val="center"/>
          </w:tcPr>
          <w:p>
            <w:pPr>
              <w:pStyle w:val="12"/>
            </w:pPr>
            <w:r>
              <w:t>审计人员对系统使用的满意度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0"/>
      <w:r>
        <w:rPr>
          <w:rFonts w:ascii="方正仿宋_GBK" w:hAnsi="方正仿宋_GBK" w:eastAsia="方正仿宋_GBK" w:cs="方正仿宋_GBK"/>
          <w:sz w:val="28"/>
        </w:rPr>
        <w:t>7.天津市审计局一般债券利息-2025年债券利息绩效目标表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348101天津市审计局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天津市审计局一般债券利息-2025年债券利息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12.98</w:t>
            </w:r>
          </w:p>
        </w:tc>
        <w:tc>
          <w:tcPr>
            <w:tcW w:w="1587" w:type="dxa"/>
            <w:vAlign w:val="center"/>
          </w:tcPr>
          <w:p>
            <w:pPr>
              <w:pStyle w:val="13"/>
            </w:pPr>
            <w:r>
              <w:t>其中：财政    资金</w:t>
            </w:r>
          </w:p>
        </w:tc>
        <w:tc>
          <w:tcPr>
            <w:tcW w:w="1843" w:type="dxa"/>
            <w:vAlign w:val="center"/>
          </w:tcPr>
          <w:p>
            <w:pPr>
              <w:pStyle w:val="12"/>
            </w:pPr>
            <w:r>
              <w:t>12.98</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用于偿还债券利息。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1.通过按时完成债券付息，保障投资者权益。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偿还债券项目</w:t>
            </w:r>
          </w:p>
        </w:tc>
        <w:tc>
          <w:tcPr>
            <w:tcW w:w="3430" w:type="dxa"/>
            <w:vAlign w:val="center"/>
          </w:tcPr>
          <w:p>
            <w:pPr>
              <w:pStyle w:val="12"/>
            </w:pPr>
            <w:r>
              <w:t>偿还债券项目</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债券利息发放率</w:t>
            </w:r>
          </w:p>
        </w:tc>
        <w:tc>
          <w:tcPr>
            <w:tcW w:w="3430" w:type="dxa"/>
            <w:vAlign w:val="center"/>
          </w:tcPr>
          <w:p>
            <w:pPr>
              <w:pStyle w:val="12"/>
            </w:pPr>
            <w:r>
              <w:t>债券利息发放率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偿还债券利息及时率</w:t>
            </w:r>
          </w:p>
        </w:tc>
        <w:tc>
          <w:tcPr>
            <w:tcW w:w="3430" w:type="dxa"/>
            <w:vAlign w:val="center"/>
          </w:tcPr>
          <w:p>
            <w:pPr>
              <w:pStyle w:val="12"/>
            </w:pPr>
            <w:r>
              <w:t>偿还债券利息及时率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偿还债券利息金额</w:t>
            </w:r>
          </w:p>
        </w:tc>
        <w:tc>
          <w:tcPr>
            <w:tcW w:w="3430" w:type="dxa"/>
            <w:vAlign w:val="center"/>
          </w:tcPr>
          <w:p>
            <w:pPr>
              <w:pStyle w:val="12"/>
            </w:pPr>
            <w:r>
              <w:t>偿还债券利息金额</w:t>
            </w:r>
          </w:p>
        </w:tc>
        <w:tc>
          <w:tcPr>
            <w:tcW w:w="2551" w:type="dxa"/>
            <w:vAlign w:val="center"/>
          </w:tcPr>
          <w:p>
            <w:pPr>
              <w:pStyle w:val="12"/>
            </w:pPr>
            <w:r>
              <w:t>≤12.98万元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保障债券收益人权益</w:t>
            </w:r>
          </w:p>
        </w:tc>
        <w:tc>
          <w:tcPr>
            <w:tcW w:w="3430" w:type="dxa"/>
            <w:vAlign w:val="center"/>
          </w:tcPr>
          <w:p>
            <w:pPr>
              <w:pStyle w:val="12"/>
            </w:pPr>
            <w:r>
              <w:t>保障债券收益人权益</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公众对偿还债券利息投诉次数</w:t>
            </w:r>
          </w:p>
        </w:tc>
        <w:tc>
          <w:tcPr>
            <w:tcW w:w="3430" w:type="dxa"/>
            <w:vAlign w:val="center"/>
          </w:tcPr>
          <w:p>
            <w:pPr>
              <w:pStyle w:val="12"/>
            </w:pPr>
            <w:r>
              <w:t>公众对偿还债券利息投诉次数</w:t>
            </w:r>
          </w:p>
        </w:tc>
        <w:tc>
          <w:tcPr>
            <w:tcW w:w="2551" w:type="dxa"/>
            <w:vAlign w:val="center"/>
          </w:tcPr>
          <w:p>
            <w:pPr>
              <w:pStyle w:val="12"/>
            </w:pPr>
            <w:r>
              <w:t>≤2次</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1"/>
      <w:r>
        <w:rPr>
          <w:rFonts w:ascii="方正仿宋_GBK" w:hAnsi="方正仿宋_GBK" w:eastAsia="方正仿宋_GBK" w:cs="方正仿宋_GBK"/>
          <w:sz w:val="28"/>
        </w:rPr>
        <w:t>8.新址办公楼搬迁费绩效目标表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348101天津市审计局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新址办公楼搬迁费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w:t>
            </w:r>
          </w:p>
        </w:tc>
        <w:tc>
          <w:tcPr>
            <w:tcW w:w="1587" w:type="dxa"/>
            <w:vAlign w:val="center"/>
          </w:tcPr>
          <w:p>
            <w:pPr>
              <w:pStyle w:val="13"/>
            </w:pPr>
            <w:r>
              <w:t>其中：财政    资金</w:t>
            </w:r>
          </w:p>
        </w:tc>
        <w:tc>
          <w:tcPr>
            <w:tcW w:w="1843" w:type="dxa"/>
            <w:vAlign w:val="center"/>
          </w:tcPr>
          <w:p>
            <w:pPr>
              <w:pStyle w:val="12"/>
            </w:pPr>
            <w:r>
              <w:t>300.00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用于新址搬迁相关支出。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1.实施办公用房调整，由分散办公调整为集中办公，整体搬迁租用天津地铁集团双林办公楼，满足审计机关日常办公需要。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购买办公家具（桌椅柜）</w:t>
            </w:r>
          </w:p>
        </w:tc>
        <w:tc>
          <w:tcPr>
            <w:tcW w:w="3430" w:type="dxa"/>
            <w:vAlign w:val="center"/>
          </w:tcPr>
          <w:p>
            <w:pPr>
              <w:pStyle w:val="12"/>
            </w:pPr>
            <w:r>
              <w:t>反映购买办公家具（桌椅柜）数量</w:t>
            </w:r>
          </w:p>
        </w:tc>
        <w:tc>
          <w:tcPr>
            <w:tcW w:w="2551" w:type="dxa"/>
            <w:vAlign w:val="center"/>
          </w:tcPr>
          <w:p>
            <w:pPr>
              <w:pStyle w:val="12"/>
            </w:pPr>
            <w:r>
              <w:t>≤270套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购置档案室恒湿温系统设备</w:t>
            </w:r>
          </w:p>
        </w:tc>
        <w:tc>
          <w:tcPr>
            <w:tcW w:w="3430" w:type="dxa"/>
            <w:vAlign w:val="center"/>
          </w:tcPr>
          <w:p>
            <w:pPr>
              <w:pStyle w:val="12"/>
            </w:pPr>
            <w:r>
              <w:t>反映购置档案室恒湿温系统设备情况</w:t>
            </w:r>
          </w:p>
        </w:tc>
        <w:tc>
          <w:tcPr>
            <w:tcW w:w="2551" w:type="dxa"/>
            <w:vAlign w:val="center"/>
          </w:tcPr>
          <w:p>
            <w:pPr>
              <w:pStyle w:val="12"/>
            </w:pPr>
            <w:r>
              <w:t>3套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办公设备完好率</w:t>
            </w:r>
          </w:p>
        </w:tc>
        <w:tc>
          <w:tcPr>
            <w:tcW w:w="3430" w:type="dxa"/>
            <w:vAlign w:val="center"/>
          </w:tcPr>
          <w:p>
            <w:pPr>
              <w:pStyle w:val="12"/>
            </w:pPr>
            <w:r>
              <w:t>反映办公设备购置及安装情况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温室系统安装合格率</w:t>
            </w:r>
          </w:p>
        </w:tc>
        <w:tc>
          <w:tcPr>
            <w:tcW w:w="3430" w:type="dxa"/>
            <w:vAlign w:val="center"/>
          </w:tcPr>
          <w:p>
            <w:pPr>
              <w:pStyle w:val="12"/>
            </w:pPr>
            <w:r>
              <w:t>反应温室系统安装合格率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家具安装完成时限</w:t>
            </w:r>
          </w:p>
        </w:tc>
        <w:tc>
          <w:tcPr>
            <w:tcW w:w="3430" w:type="dxa"/>
            <w:vAlign w:val="center"/>
          </w:tcPr>
          <w:p>
            <w:pPr>
              <w:pStyle w:val="12"/>
            </w:pPr>
            <w:r>
              <w:t>反映家具安装完成时限情况</w:t>
            </w:r>
          </w:p>
        </w:tc>
        <w:tc>
          <w:tcPr>
            <w:tcW w:w="2551" w:type="dxa"/>
            <w:vAlign w:val="center"/>
          </w:tcPr>
          <w:p>
            <w:pPr>
              <w:pStyle w:val="12"/>
            </w:pPr>
            <w:r>
              <w:t>4月底前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温室系统安装完成时限</w:t>
            </w:r>
          </w:p>
        </w:tc>
        <w:tc>
          <w:tcPr>
            <w:tcW w:w="3430" w:type="dxa"/>
            <w:vAlign w:val="center"/>
          </w:tcPr>
          <w:p>
            <w:pPr>
              <w:pStyle w:val="12"/>
            </w:pPr>
            <w:r>
              <w:t>反应温室系统安装完成时限情况</w:t>
            </w:r>
          </w:p>
        </w:tc>
        <w:tc>
          <w:tcPr>
            <w:tcW w:w="2551" w:type="dxa"/>
            <w:vAlign w:val="center"/>
          </w:tcPr>
          <w:p>
            <w:pPr>
              <w:pStyle w:val="12"/>
            </w:pPr>
            <w:r>
              <w:t>4月底前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购置及工程安装成本</w:t>
            </w:r>
          </w:p>
        </w:tc>
        <w:tc>
          <w:tcPr>
            <w:tcW w:w="3430" w:type="dxa"/>
            <w:vAlign w:val="center"/>
          </w:tcPr>
          <w:p>
            <w:pPr>
              <w:pStyle w:val="12"/>
            </w:pPr>
            <w:r>
              <w:t>反映购置及工程安装成本情况</w:t>
            </w:r>
          </w:p>
        </w:tc>
        <w:tc>
          <w:tcPr>
            <w:tcW w:w="2551" w:type="dxa"/>
            <w:vAlign w:val="center"/>
          </w:tcPr>
          <w:p>
            <w:pPr>
              <w:pStyle w:val="12"/>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预计使用年限</w:t>
            </w:r>
          </w:p>
        </w:tc>
        <w:tc>
          <w:tcPr>
            <w:tcW w:w="3430" w:type="dxa"/>
            <w:vAlign w:val="center"/>
          </w:tcPr>
          <w:p>
            <w:pPr>
              <w:pStyle w:val="12"/>
            </w:pPr>
            <w:r>
              <w:t>反映办公设备预计使用年限情况</w:t>
            </w:r>
          </w:p>
        </w:tc>
        <w:tc>
          <w:tcPr>
            <w:tcW w:w="2551" w:type="dxa"/>
            <w:vAlign w:val="center"/>
          </w:tcPr>
          <w:p>
            <w:pPr>
              <w:pStyle w:val="12"/>
            </w:pPr>
            <w:r>
              <w:t>≥10年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机关干部使用满意度</w:t>
            </w:r>
          </w:p>
        </w:tc>
        <w:tc>
          <w:tcPr>
            <w:tcW w:w="3430" w:type="dxa"/>
            <w:vAlign w:val="center"/>
          </w:tcPr>
          <w:p>
            <w:pPr>
              <w:pStyle w:val="12"/>
            </w:pPr>
            <w:r>
              <w:t>反映机关干部使用满意度情况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2"/>
      <w:r>
        <w:rPr>
          <w:rFonts w:ascii="方正仿宋_GBK" w:hAnsi="方正仿宋_GBK" w:eastAsia="方正仿宋_GBK" w:cs="方正仿宋_GBK"/>
          <w:sz w:val="28"/>
        </w:rPr>
        <w:t>9.信息化运维项目经费绩效目标表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348101天津市审计局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信息化运维项目经费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186.30</w:t>
            </w:r>
          </w:p>
        </w:tc>
        <w:tc>
          <w:tcPr>
            <w:tcW w:w="1587" w:type="dxa"/>
            <w:vAlign w:val="center"/>
          </w:tcPr>
          <w:p>
            <w:pPr>
              <w:pStyle w:val="13"/>
            </w:pPr>
            <w:r>
              <w:t>其中：财政    资金</w:t>
            </w:r>
          </w:p>
        </w:tc>
        <w:tc>
          <w:tcPr>
            <w:tcW w:w="1843" w:type="dxa"/>
            <w:vAlign w:val="center"/>
          </w:tcPr>
          <w:p>
            <w:pPr>
              <w:pStyle w:val="12"/>
            </w:pPr>
            <w:r>
              <w:t>186.30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用于信息化运维项目支出。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1.过对信息化系统实施运维服务，确保我局机房、网络和信息系统及相关软硬件设备设施的安全、稳定、高效运行；提高运行维护效率，规范运行维护成本的科学化管控，实现维护质量与维护成本的均衡。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信息化运维范围</w:t>
            </w:r>
          </w:p>
        </w:tc>
        <w:tc>
          <w:tcPr>
            <w:tcW w:w="3430" w:type="dxa"/>
            <w:vAlign w:val="center"/>
          </w:tcPr>
          <w:p>
            <w:pPr>
              <w:pStyle w:val="12"/>
            </w:pPr>
            <w:r>
              <w:t>反映系统运维、安全服务情况</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系统运维验收合格率</w:t>
            </w:r>
          </w:p>
        </w:tc>
        <w:tc>
          <w:tcPr>
            <w:tcW w:w="3430" w:type="dxa"/>
            <w:vAlign w:val="center"/>
          </w:tcPr>
          <w:p>
            <w:pPr>
              <w:pStyle w:val="12"/>
            </w:pPr>
            <w:r>
              <w:t>系统运维符合相关验收要求</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系统一般故障修复处理时间</w:t>
            </w:r>
          </w:p>
        </w:tc>
        <w:tc>
          <w:tcPr>
            <w:tcW w:w="3430" w:type="dxa"/>
            <w:vAlign w:val="center"/>
          </w:tcPr>
          <w:p>
            <w:pPr>
              <w:pStyle w:val="12"/>
            </w:pPr>
            <w:r>
              <w:t>处置一般故障的时间</w:t>
            </w:r>
          </w:p>
        </w:tc>
        <w:tc>
          <w:tcPr>
            <w:tcW w:w="2551" w:type="dxa"/>
            <w:vAlign w:val="center"/>
          </w:tcPr>
          <w:p>
            <w:pPr>
              <w:pStyle w:val="12"/>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系统严重故障修复处理时间</w:t>
            </w:r>
          </w:p>
        </w:tc>
        <w:tc>
          <w:tcPr>
            <w:tcW w:w="3430" w:type="dxa"/>
            <w:vAlign w:val="center"/>
          </w:tcPr>
          <w:p>
            <w:pPr>
              <w:pStyle w:val="12"/>
            </w:pPr>
            <w:r>
              <w:t>处置严重故障的时间</w:t>
            </w:r>
          </w:p>
        </w:tc>
        <w:tc>
          <w:tcPr>
            <w:tcW w:w="2551" w:type="dxa"/>
            <w:vAlign w:val="center"/>
          </w:tcPr>
          <w:p>
            <w:pPr>
              <w:pStyle w:val="12"/>
            </w:pPr>
            <w:r>
              <w:t>≤3工作日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信息化运维成本</w:t>
            </w:r>
          </w:p>
        </w:tc>
        <w:tc>
          <w:tcPr>
            <w:tcW w:w="3430" w:type="dxa"/>
            <w:vAlign w:val="center"/>
          </w:tcPr>
          <w:p>
            <w:pPr>
              <w:pStyle w:val="12"/>
            </w:pPr>
            <w:r>
              <w:t>信息化运维资金投入</w:t>
            </w:r>
          </w:p>
        </w:tc>
        <w:tc>
          <w:tcPr>
            <w:tcW w:w="2551" w:type="dxa"/>
            <w:vAlign w:val="center"/>
          </w:tcPr>
          <w:p>
            <w:pPr>
              <w:pStyle w:val="12"/>
            </w:pPr>
            <w:r>
              <w:t>≤186.3万元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信息化建设及运行维护资金在审计工作中的实际运用率</w:t>
            </w:r>
          </w:p>
        </w:tc>
        <w:tc>
          <w:tcPr>
            <w:tcW w:w="3430" w:type="dxa"/>
            <w:vAlign w:val="center"/>
          </w:tcPr>
          <w:p>
            <w:pPr>
              <w:pStyle w:val="12"/>
            </w:pPr>
            <w:r>
              <w:t>相关系统全部用于审计相关工作</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审计系统使用满意度</w:t>
            </w:r>
          </w:p>
        </w:tc>
        <w:tc>
          <w:tcPr>
            <w:tcW w:w="3430" w:type="dxa"/>
            <w:vAlign w:val="center"/>
          </w:tcPr>
          <w:p>
            <w:pPr>
              <w:pStyle w:val="12"/>
            </w:pPr>
            <w:r>
              <w:t>审计人员对系统使用的满意度</w:t>
            </w:r>
          </w:p>
        </w:tc>
        <w:tc>
          <w:tcPr>
            <w:tcW w:w="2551" w:type="dxa"/>
            <w:vAlign w:val="center"/>
          </w:tcPr>
          <w:p>
            <w:pPr>
              <w:pStyle w:val="12"/>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2000000000000"/>
    <w:charset w:val="86"/>
    <w:family w:val="roman"/>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87CCF"/>
    <w:rsid w:val="000877B0"/>
    <w:rsid w:val="0096258D"/>
    <w:rsid w:val="00C87CCF"/>
    <w:rsid w:val="0E5FB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13</Pages>
  <Words>910</Words>
  <Characters>5189</Characters>
  <Lines>43</Lines>
  <Paragraphs>12</Paragraphs>
  <TotalTime>1</TotalTime>
  <ScaleCrop>false</ScaleCrop>
  <LinksUpToDate>false</LinksUpToDate>
  <CharactersWithSpaces>6087</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2025-01-15T23:55:00Z</dcterms:created>
  <dc:creator>tjaudit</dc:creator>
  <cp:lastModifiedBy>李立辉</cp:lastModifiedBy>
  <dcterms:modified xsi:type="dcterms:W3CDTF">2025-02-07T16:04:20Z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8BBC02F24CF91CC784BEA567BA37D57C</vt:lpwstr>
  </property>
</Properties>
</file>