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天津市审计科研所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天津市审计科研所的主要职责是加强审计理论与实践活动的科学研究；跟踪研究审计工作的改革创新、实践发展；组织全市审计学术研讨和交流；推动实务研究成果的转化；开展审计知识普及及审计宣传工作。</w:t>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天津市审计科研所内设4个职能科室；下辖0个预算单位。纳入天津市审计科研所2023年度部门决算编制范围的单位包括：</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1.天津市审计科研所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1.天津市审计科研所2023年度政府性基金预算财政拨款收入支出决算表为空表。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2.天津市审计科研所2023年度国有资本经营预算财政拨款收入支出决算表为空表。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3.天津市审计科研所2023年度一般公共预算财政拨款“三公”经费支出决算表为空表。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天津市审计科研所2023年度收入、支出决算总计</w:t>
      </w:r>
      <w:r>
        <w:rPr>
          <w:rFonts w:hint="eastAsia" w:ascii="Times New Roman" w:hAnsi="Times New Roman" w:eastAsia="仿宋_GB2312" w:cs="仿宋_GB2312"/>
          <w:sz w:val="30"/>
          <w:szCs w:val="30"/>
          <w:highlight w:val="none"/>
          <w:lang w:eastAsia="zh-CN"/>
        </w:rPr>
        <w:t>3,133,393.91元，与2022年度相比，收、支总计各增加278,817.00元，增长9.77%，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：2023年度审计科研活动项目收、支增加。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2,994,555.97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增加234,885.94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w:t>
      </w:r>
      <w:r>
        <w:rPr>
          <w:rFonts w:hint="eastAsia" w:ascii="Times New Roman" w:hAnsi="Times New Roman" w:eastAsia="仿宋_GB2312" w:cs="仿宋_GB2312"/>
          <w:sz w:val="30"/>
          <w:szCs w:val="30"/>
          <w:highlight w:val="none"/>
          <w:lang w:eastAsia="zh-CN"/>
        </w:rPr>
        <w:t>审计科研活动</w:t>
      </w:r>
      <w:r>
        <w:rPr>
          <w:rFonts w:hint="eastAsia" w:ascii="Times New Roman" w:hAnsi="Times New Roman" w:eastAsia="仿宋_GB2312" w:cs="仿宋_GB2312"/>
          <w:kern w:val="0"/>
          <w:sz w:val="30"/>
          <w:szCs w:val="30"/>
          <w:highlight w:val="none"/>
          <w:lang w:eastAsia="zh-CN"/>
        </w:rPr>
        <w:t>项目收入增加。</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2,953,740.00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98.64</w:t>
      </w:r>
      <w:r>
        <w:rPr>
          <w:rFonts w:hint="eastAsia" w:ascii="Times New Roman" w:hAnsi="Times New Roman" w:eastAsia="宋体"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40,815.97元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1.36%</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3,037,120.86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244,273.55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w:t>
      </w:r>
      <w:r>
        <w:rPr>
          <w:rFonts w:hint="eastAsia" w:ascii="Times New Roman" w:hAnsi="Times New Roman" w:eastAsia="仿宋_GB2312" w:cs="仿宋_GB2312"/>
          <w:sz w:val="30"/>
          <w:szCs w:val="30"/>
          <w:highlight w:val="none"/>
          <w:lang w:eastAsia="zh-CN"/>
        </w:rPr>
        <w:t>审计科研活动</w:t>
      </w:r>
      <w:r>
        <w:rPr>
          <w:rFonts w:hint="eastAsia" w:ascii="Times New Roman" w:hAnsi="Times New Roman" w:eastAsia="仿宋_GB2312" w:cs="仿宋_GB2312"/>
          <w:kern w:val="0"/>
          <w:sz w:val="30"/>
          <w:szCs w:val="30"/>
          <w:highlight w:val="none"/>
          <w:lang w:eastAsia="zh-CN"/>
        </w:rPr>
        <w:t>项目支出增加。</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2,857,380.86元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94.08</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179,740.00元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占5.92%。</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天津市审计科研所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3,014,399.57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255,459.00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2023年度审计科研活动项目收、支增加。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天津市审计科研所2023年度部门决算一般公共预算财政拨款支出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计2,995,620.86元，占本年支出合计的98.63%，与2022年度相比，一般公共预算财政拨款支出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297,339.86元，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：2023年度审计科研活动项目支出增加以及使用以前年度财政拨款结转。</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2,995,620.86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620.86元，占87.25%；社会保障和就业支出239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000.00元，占7.98%；卫生健康支出143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000.00元，占4.77%。</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3,188,000.00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2,995,620.86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93.97%</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1.一般公共服务（类）审计事务（款）审计管理（项）年初预算为100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2.一般公共服务（类）审计事务（款）事业运行（项）年初预算为2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880.86元，完成年初预算的92.65%，决算数小于年初预算数的主要原因是：2023年出现人员增减变动情况。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3.一般公共服务（类）审计事务（款）其他审计事务支出（项）年初预算为0元，支出决算为39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740.00元，决算数大于年初预算数的主要原因是：2023年出现退休人员死亡情况。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4.社会保障和就业（类）行政事业单位养老（款）机关事业单位基本养老保险缴费（项）年初预算为193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000.00元，完成年初预算的77.20%，决算数小于年初预算数的主要原因是：2023年出现人员增减变动情况。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5.社会保障和就业（类）行政事业单位养老（款）机关事业单位职业年金缴费（项）年初预算为96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000.00元，完成年初预算的93.75%，决算数小于年初预算数的主要原因是：2023年出现人员增减变动情况。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6.卫生健康（类）行政事业单位医疗（款）事业单位医疗（项）年初预算为127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000.00元，完成年初预算的80.31%，决算数小于年初预算数的主要原因是：2023年出现人员增减变动情况。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7.卫生健康（类）行政事业单位医疗（款）其他行政事业单位医疗（项）年初预算为44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000.00元，完成年初预算的93.18%，决算数小于年初预算数的主要原因是：2023年出现人员增减变动情况。</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天津市审计科研所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2,855,880.86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157,599.86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人员经费和公用经费支出较上一年度均有所增加。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2,517,880.86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基本工资、津贴补贴、绩效工资、机关事业单位基本养老保险缴费、职业年金缴费、职工基本医疗保险缴费、其他社会保障缴费、住房公积金、其他工资福利支出、退休费。</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338,000.00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办公费、手续费、水费、电费、邮电费、取暖费、物业管理费、差旅费、维修(护)费、租赁费、培训费、工会经费、福利费、其他交通费用、其他商品和服务支出。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580" w:lineRule="exact"/>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天津市审计科研所2023年度无政府性基金预算财政拨款收入、支出和结转结余。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天津市审计科研所2023年度无国有资本经营预算财政拨款收入、支出和结转结余。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天津市审计科研所2023年度无机关运行经费。</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天津市审计科研所2023年度无政府采购支出。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天津市审计科研所2023年度已对2个市级项目开展绩效自评，涉及金额139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740元，自评结果已随部门决算一并公开。</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天津市审计科研所不属于乡、镇、街级单位，不涉及公开2023年度教育、医疗卫生、社会保障和就业、住房保障、涉农补贴等民生支出情况。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akType Naskh Basic">
    <w:panose1 w:val="00000400000000000000"/>
    <w:charset w:val="00"/>
    <w:family w:val="auto"/>
    <w:pitch w:val="default"/>
    <w:sig w:usb0="80006003" w:usb1="8000000A"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9FD699"/>
    <w:rsid w:val="0EBB5316"/>
    <w:rsid w:val="0F4936D8"/>
    <w:rsid w:val="0FAD688F"/>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DE61B8"/>
    <w:rsid w:val="381E22EE"/>
    <w:rsid w:val="395ECBF2"/>
    <w:rsid w:val="3AF76503"/>
    <w:rsid w:val="3B0209DD"/>
    <w:rsid w:val="3B0C198B"/>
    <w:rsid w:val="3B483C6E"/>
    <w:rsid w:val="3B776F10"/>
    <w:rsid w:val="3B7C7A57"/>
    <w:rsid w:val="3B8E1539"/>
    <w:rsid w:val="3D3FF332"/>
    <w:rsid w:val="3D600CB3"/>
    <w:rsid w:val="3D6F91D3"/>
    <w:rsid w:val="3E426F14"/>
    <w:rsid w:val="3EB42189"/>
    <w:rsid w:val="3EC62D97"/>
    <w:rsid w:val="3EEF0B4C"/>
    <w:rsid w:val="3EF16375"/>
    <w:rsid w:val="3F2006FA"/>
    <w:rsid w:val="3F7DA85F"/>
    <w:rsid w:val="3F7FE655"/>
    <w:rsid w:val="3FF7F4E6"/>
    <w:rsid w:val="40CF0629"/>
    <w:rsid w:val="4137238C"/>
    <w:rsid w:val="41CC0838"/>
    <w:rsid w:val="43612B5A"/>
    <w:rsid w:val="43805C0B"/>
    <w:rsid w:val="43B835F7"/>
    <w:rsid w:val="44552CED"/>
    <w:rsid w:val="44EB17AA"/>
    <w:rsid w:val="45984C48"/>
    <w:rsid w:val="47727F60"/>
    <w:rsid w:val="47EF8A33"/>
    <w:rsid w:val="485D29BF"/>
    <w:rsid w:val="49374433"/>
    <w:rsid w:val="49DA103E"/>
    <w:rsid w:val="4A2319E6"/>
    <w:rsid w:val="4A8E57CD"/>
    <w:rsid w:val="4CA13CE1"/>
    <w:rsid w:val="4CD450D8"/>
    <w:rsid w:val="4D14664A"/>
    <w:rsid w:val="4D210FC7"/>
    <w:rsid w:val="4D5E9B69"/>
    <w:rsid w:val="4D720D77"/>
    <w:rsid w:val="4DB9688D"/>
    <w:rsid w:val="4E4E3945"/>
    <w:rsid w:val="4E8C7B5A"/>
    <w:rsid w:val="4F167E2F"/>
    <w:rsid w:val="4F2FE593"/>
    <w:rsid w:val="4F391364"/>
    <w:rsid w:val="4FA424E7"/>
    <w:rsid w:val="4FBD62FD"/>
    <w:rsid w:val="4FD337AC"/>
    <w:rsid w:val="4FE523CE"/>
    <w:rsid w:val="4FEE9A19"/>
    <w:rsid w:val="5236167C"/>
    <w:rsid w:val="52A37398"/>
    <w:rsid w:val="53C102A5"/>
    <w:rsid w:val="54380029"/>
    <w:rsid w:val="54A61249"/>
    <w:rsid w:val="54F16968"/>
    <w:rsid w:val="55AC416B"/>
    <w:rsid w:val="564C0516"/>
    <w:rsid w:val="5713248B"/>
    <w:rsid w:val="5779415D"/>
    <w:rsid w:val="57833AC4"/>
    <w:rsid w:val="578735B4"/>
    <w:rsid w:val="57BB533A"/>
    <w:rsid w:val="57FF3B76"/>
    <w:rsid w:val="58C3061C"/>
    <w:rsid w:val="58E93DFA"/>
    <w:rsid w:val="599E4BE5"/>
    <w:rsid w:val="5A1C0F73"/>
    <w:rsid w:val="5A964C59"/>
    <w:rsid w:val="5BE7FF8A"/>
    <w:rsid w:val="5C170425"/>
    <w:rsid w:val="5CD612EB"/>
    <w:rsid w:val="5D032E6E"/>
    <w:rsid w:val="5DC66F7C"/>
    <w:rsid w:val="5DFB2606"/>
    <w:rsid w:val="5E015742"/>
    <w:rsid w:val="5EB1144C"/>
    <w:rsid w:val="5EF37781"/>
    <w:rsid w:val="5F6D7131"/>
    <w:rsid w:val="5F7856C5"/>
    <w:rsid w:val="5FB94FE0"/>
    <w:rsid w:val="5FF62F57"/>
    <w:rsid w:val="5FF67529"/>
    <w:rsid w:val="5FF71701"/>
    <w:rsid w:val="5FFF1018"/>
    <w:rsid w:val="615900E7"/>
    <w:rsid w:val="61D75AE1"/>
    <w:rsid w:val="620B43D3"/>
    <w:rsid w:val="624C1682"/>
    <w:rsid w:val="63B80927"/>
    <w:rsid w:val="643C1F0A"/>
    <w:rsid w:val="644D16E1"/>
    <w:rsid w:val="64925346"/>
    <w:rsid w:val="64CF6036"/>
    <w:rsid w:val="654D2EBE"/>
    <w:rsid w:val="654E5711"/>
    <w:rsid w:val="656942F9"/>
    <w:rsid w:val="65B558C0"/>
    <w:rsid w:val="665D659A"/>
    <w:rsid w:val="667274BD"/>
    <w:rsid w:val="66BC2A82"/>
    <w:rsid w:val="66D64BB9"/>
    <w:rsid w:val="672E57FA"/>
    <w:rsid w:val="68200AB4"/>
    <w:rsid w:val="68C169D0"/>
    <w:rsid w:val="6B4F5D3F"/>
    <w:rsid w:val="6B963EB9"/>
    <w:rsid w:val="6BBB51FE"/>
    <w:rsid w:val="6BF54B38"/>
    <w:rsid w:val="6C054650"/>
    <w:rsid w:val="6C1D5E3D"/>
    <w:rsid w:val="6CF70A69"/>
    <w:rsid w:val="6CFE17CB"/>
    <w:rsid w:val="6D5E0469"/>
    <w:rsid w:val="6D854C1A"/>
    <w:rsid w:val="6DE65072"/>
    <w:rsid w:val="6E080CF4"/>
    <w:rsid w:val="6E3EB205"/>
    <w:rsid w:val="6EB34837"/>
    <w:rsid w:val="6EFF07BA"/>
    <w:rsid w:val="6FFDA622"/>
    <w:rsid w:val="70180DF5"/>
    <w:rsid w:val="704716DB"/>
    <w:rsid w:val="708C6A78"/>
    <w:rsid w:val="70E84C6C"/>
    <w:rsid w:val="70FE35D3"/>
    <w:rsid w:val="71600CA6"/>
    <w:rsid w:val="7260119C"/>
    <w:rsid w:val="72701CEB"/>
    <w:rsid w:val="72B3615B"/>
    <w:rsid w:val="73724CC1"/>
    <w:rsid w:val="73BF0A29"/>
    <w:rsid w:val="73EF6987"/>
    <w:rsid w:val="73FFC8CF"/>
    <w:rsid w:val="7455465F"/>
    <w:rsid w:val="755FC99C"/>
    <w:rsid w:val="75AB44BA"/>
    <w:rsid w:val="775CC586"/>
    <w:rsid w:val="77ECFED0"/>
    <w:rsid w:val="77F3F0D9"/>
    <w:rsid w:val="77FD9822"/>
    <w:rsid w:val="79B7155B"/>
    <w:rsid w:val="79DC07A5"/>
    <w:rsid w:val="79FB3AF6"/>
    <w:rsid w:val="7A7511F7"/>
    <w:rsid w:val="7ACA53E2"/>
    <w:rsid w:val="7B143565"/>
    <w:rsid w:val="7BFEEBCB"/>
    <w:rsid w:val="7D8F8277"/>
    <w:rsid w:val="7DBE55B0"/>
    <w:rsid w:val="7E2E7A36"/>
    <w:rsid w:val="7E703A39"/>
    <w:rsid w:val="7EAA2E34"/>
    <w:rsid w:val="7F3217A8"/>
    <w:rsid w:val="7F444881"/>
    <w:rsid w:val="7FDD7966"/>
    <w:rsid w:val="7FEF83C7"/>
    <w:rsid w:val="7FFF97C4"/>
    <w:rsid w:val="94BE3335"/>
    <w:rsid w:val="973DAF76"/>
    <w:rsid w:val="9DFD7323"/>
    <w:rsid w:val="9ECBB9FB"/>
    <w:rsid w:val="A3CB97A4"/>
    <w:rsid w:val="A9C95446"/>
    <w:rsid w:val="ABEB6129"/>
    <w:rsid w:val="AEFBBE37"/>
    <w:rsid w:val="B7FF22C8"/>
    <w:rsid w:val="BB9D7226"/>
    <w:rsid w:val="BEFF3E77"/>
    <w:rsid w:val="BFBB6097"/>
    <w:rsid w:val="CABFF718"/>
    <w:rsid w:val="CFE719C7"/>
    <w:rsid w:val="D1F46363"/>
    <w:rsid w:val="DAFAAAFE"/>
    <w:rsid w:val="DB659819"/>
    <w:rsid w:val="DE8255F5"/>
    <w:rsid w:val="DF37A902"/>
    <w:rsid w:val="DFBEEFF6"/>
    <w:rsid w:val="DFCBE569"/>
    <w:rsid w:val="DFFD2139"/>
    <w:rsid w:val="E6B795CD"/>
    <w:rsid w:val="E6BF1B81"/>
    <w:rsid w:val="E75F28EC"/>
    <w:rsid w:val="E97B345E"/>
    <w:rsid w:val="ED4FFC26"/>
    <w:rsid w:val="EFFBE770"/>
    <w:rsid w:val="F2FFBA4E"/>
    <w:rsid w:val="F3EBF6AD"/>
    <w:rsid w:val="F75D52CE"/>
    <w:rsid w:val="F7EFF6A0"/>
    <w:rsid w:val="FB23FECA"/>
    <w:rsid w:val="FB79C069"/>
    <w:rsid w:val="FBBF599B"/>
    <w:rsid w:val="FC7FB309"/>
    <w:rsid w:val="FCE30F12"/>
    <w:rsid w:val="FCFF020B"/>
    <w:rsid w:val="FD749C3E"/>
    <w:rsid w:val="FD95F517"/>
    <w:rsid w:val="FDFF84DB"/>
    <w:rsid w:val="FF6E14B5"/>
    <w:rsid w:val="FF9E2CEA"/>
    <w:rsid w:val="FFD06428"/>
    <w:rsid w:val="FFDE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2023-08-13T08:11:00Z</dcterms:created>
  <dc:creator>office</dc:creator>
  <cp:lastModifiedBy>李立辉</cp:lastModifiedBy>
  <dcterms:modified xsi:type="dcterms:W3CDTF">2024-08-29T14:57:44Z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DAA6237B51788432E81BD0665F01EA29</vt:lpwstr>
  </property>
</Properties>
</file>