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bookmarkStart w:id="8" w:name="_GoBack"/>
      <w:bookmarkEnd w:id="8"/>
      <w:r>
        <w:rPr>
          <w:rFonts w:ascii="方正小标宋_GBK" w:hAnsi="方正小标宋_GBK" w:eastAsia="方正小标宋_GBK" w:cs="方正小标宋_GBK"/>
          <w:sz w:val="52"/>
          <w:szCs w:val="52"/>
        </w:rPr>
        <w:t xml:space="preserve"> </w:t>
      </w:r>
    </w:p>
    <w:p>
      <w:pPr>
        <w:jc w:val="center"/>
        <w:rPr>
          <w:rFonts w:eastAsia="Times New Roman"/>
        </w:rPr>
      </w:pPr>
      <w:r>
        <w:rPr>
          <w:rFonts w:ascii="方正小标宋_GBK" w:hAnsi="方正小标宋_GBK" w:eastAsia="方正小标宋_GBK" w:cs="方正小标宋_GBK"/>
          <w:sz w:val="52"/>
          <w:szCs w:val="52"/>
        </w:rPr>
        <w:t xml:space="preserve"> </w:t>
      </w:r>
    </w:p>
    <w:p>
      <w:pPr>
        <w:jc w:val="center"/>
        <w:rPr>
          <w:rFonts w:eastAsia="Times New Roman"/>
        </w:rPr>
      </w:pPr>
      <w:r>
        <w:rPr>
          <w:rFonts w:ascii="方正小标宋_GBK" w:hAnsi="方正小标宋_GBK" w:eastAsia="方正小标宋_GBK" w:cs="方正小标宋_GBK"/>
          <w:sz w:val="52"/>
          <w:szCs w:val="52"/>
        </w:rPr>
        <w:t xml:space="preserve"> </w:t>
      </w: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eastAsia="Times New Roman"/>
          <w:sz w:val="44"/>
          <w:szCs w:val="44"/>
        </w:rPr>
      </w:pPr>
      <w:r>
        <w:rPr>
          <w:rFonts w:hint="eastAsia" w:ascii="方正小标宋_GBK" w:hAnsi="方正小标宋_GBK" w:eastAsia="方正小标宋_GBK" w:cs="方正小标宋_GBK"/>
          <w:sz w:val="44"/>
          <w:szCs w:val="44"/>
        </w:rPr>
        <w:t>天津市审计局</w:t>
      </w:r>
    </w:p>
    <w:p>
      <w:pPr>
        <w:jc w:val="center"/>
        <w:rPr>
          <w:rFonts w:hint="eastAsia" w:eastAsia="方正小标宋_GBK"/>
          <w:sz w:val="44"/>
          <w:szCs w:val="44"/>
          <w:lang w:eastAsia="zh-CN"/>
        </w:rPr>
      </w:pPr>
      <w:r>
        <w:rPr>
          <w:rFonts w:ascii="方正小标宋_GBK" w:hAnsi="方正小标宋_GBK" w:eastAsia="方正小标宋_GBK" w:cs="方正小标宋_GBK"/>
          <w:sz w:val="44"/>
          <w:szCs w:val="44"/>
        </w:rPr>
        <w:t>2024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项目支出</w:t>
      </w:r>
      <w:r>
        <w:rPr>
          <w:rFonts w:hint="eastAsia" w:ascii="方正小标宋_GBK" w:hAnsi="方正小标宋_GBK" w:eastAsia="方正小标宋_GBK" w:cs="方正小标宋_GBK"/>
          <w:sz w:val="44"/>
          <w:szCs w:val="44"/>
        </w:rPr>
        <w:t>绩效</w:t>
      </w:r>
      <w:r>
        <w:rPr>
          <w:rFonts w:hint="eastAsia" w:ascii="方正小标宋_GBK" w:hAnsi="方正小标宋_GBK" w:eastAsia="方正小标宋_GBK" w:cs="方正小标宋_GBK"/>
          <w:sz w:val="44"/>
          <w:szCs w:val="44"/>
          <w:lang w:eastAsia="zh-CN"/>
        </w:rPr>
        <w:t>目标表</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sectPr>
          <w:pgSz w:w="11900" w:h="16840"/>
          <w:pgMar w:top="1984" w:right="1304" w:bottom="1134" w:left="1304" w:header="720" w:footer="720" w:gutter="0"/>
          <w:pgNumType w:fmt="decimal"/>
          <w:cols w:space="720" w:num="1"/>
          <w:titlePg/>
        </w:sectPr>
      </w:pPr>
    </w:p>
    <w:p>
      <w:pPr>
        <w:jc w:val="center"/>
      </w:pPr>
      <w:r>
        <w:rPr>
          <w:rFonts w:ascii="方正小标宋_GBK" w:hAnsi="方正小标宋_GBK" w:eastAsia="方正小标宋_GBK" w:cs="方正小标宋_GBK"/>
          <w:sz w:val="36"/>
          <w:szCs w:val="36"/>
        </w:rPr>
        <w:t xml:space="preserve"> </w:t>
      </w:r>
    </w:p>
    <w:p>
      <w:pPr>
        <w:jc w:val="center"/>
        <w:outlineLvl w:val="0"/>
      </w:pPr>
      <w:r>
        <w:rPr>
          <w:rFonts w:hint="eastAsia" w:ascii="方正小标宋_GBK" w:hAnsi="方正小标宋_GBK" w:eastAsia="方正小标宋_GBK" w:cs="方正小标宋_GBK"/>
          <w:sz w:val="36"/>
          <w:szCs w:val="36"/>
        </w:rPr>
        <w:t>目</w:t>
      </w:r>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录</w:t>
      </w:r>
    </w:p>
    <w:p>
      <w:pPr>
        <w:jc w:val="center"/>
      </w:pPr>
      <w:r>
        <w:rPr>
          <w:rFonts w:ascii="方正小标宋_GBK" w:hAnsi="方正小标宋_GBK" w:eastAsia="方正小标宋_GBK" w:cs="方正小标宋_GBK"/>
          <w:sz w:val="30"/>
          <w:szCs w:val="30"/>
        </w:rPr>
        <w:t xml:space="preserve"> </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ascii="宋体" w:hAnsi="宋体" w:eastAsia="宋体" w:cs="宋体"/>
        </w:rPr>
        <w:t>市审计局履职保障经费绩效目标表</w:t>
      </w:r>
      <w:r>
        <w:tab/>
      </w:r>
      <w:r>
        <w:fldChar w:fldCharType="begin"/>
      </w:r>
      <w:r>
        <w:instrText xml:space="preserve">PAGEREF _Toc_4_4_0000000004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w:t>
      </w:r>
      <w:r>
        <w:rPr>
          <w:rFonts w:hint="eastAsia" w:ascii="宋体" w:hAnsi="宋体" w:eastAsia="宋体" w:cs="宋体"/>
        </w:rPr>
        <w:t>信息化运维项目经费绩效目标表</w:t>
      </w:r>
      <w:r>
        <w:tab/>
      </w:r>
      <w:r>
        <w:fldChar w:fldCharType="begin"/>
      </w:r>
      <w:r>
        <w:instrText xml:space="preserve">PAGEREF _Toc_4_4_0000000005 \h</w:instrText>
      </w:r>
      <w:r>
        <w:fldChar w:fldCharType="separate"/>
      </w:r>
      <w:r>
        <w:t>3</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w:t>
      </w:r>
      <w:r>
        <w:rPr>
          <w:rFonts w:hint="eastAsia" w:ascii="宋体" w:hAnsi="宋体" w:eastAsia="宋体" w:cs="宋体"/>
        </w:rPr>
        <w:t>档案数字化扫描绩效目标表</w:t>
      </w:r>
      <w:r>
        <w:tab/>
      </w:r>
      <w:r>
        <w:fldChar w:fldCharType="begin"/>
      </w:r>
      <w:r>
        <w:instrText xml:space="preserve">PAGEREF _Toc_4_4_0000000006 \h</w:instrText>
      </w:r>
      <w:r>
        <w:fldChar w:fldCharType="separate"/>
      </w:r>
      <w:r>
        <w:t>4</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w:t>
      </w:r>
      <w:r>
        <w:rPr>
          <w:rFonts w:hint="eastAsia" w:ascii="宋体" w:hAnsi="宋体" w:eastAsia="宋体" w:cs="宋体"/>
        </w:rPr>
        <w:t>金审工程（三期）项目</w:t>
      </w:r>
      <w:r>
        <w:t>-2024</w:t>
      </w:r>
      <w:r>
        <w:rPr>
          <w:rFonts w:hint="eastAsia" w:ascii="宋体" w:hAnsi="宋体" w:eastAsia="宋体" w:cs="宋体"/>
        </w:rPr>
        <w:t>债券利息绩效目标表</w:t>
      </w:r>
      <w:r>
        <w:tab/>
      </w:r>
      <w:r>
        <w:fldChar w:fldCharType="begin"/>
      </w:r>
      <w:r>
        <w:instrText xml:space="preserve">PAGEREF _Toc_4_4_0000000007 \h</w:instrText>
      </w:r>
      <w:r>
        <w:fldChar w:fldCharType="separate"/>
      </w:r>
      <w:r>
        <w:t>5</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w:t>
      </w:r>
      <w:r>
        <w:rPr>
          <w:rFonts w:hint="eastAsia" w:ascii="宋体" w:hAnsi="宋体" w:eastAsia="宋体" w:cs="宋体"/>
        </w:rPr>
        <w:t>审计署拨专项经费绩效目标表</w:t>
      </w:r>
      <w:r>
        <w:tab/>
      </w:r>
      <w:r>
        <w:fldChar w:fldCharType="begin"/>
      </w:r>
      <w:r>
        <w:instrText xml:space="preserve">PAGEREF _Toc_4_4_0000000008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w:t>
      </w:r>
      <w:r>
        <w:rPr>
          <w:rFonts w:hint="eastAsia" w:ascii="宋体" w:hAnsi="宋体" w:eastAsia="宋体" w:cs="宋体"/>
        </w:rPr>
        <w:t>审计项目工作经费绩效目标表</w:t>
      </w:r>
      <w:r>
        <w:tab/>
      </w:r>
      <w:r>
        <w:fldChar w:fldCharType="begin"/>
      </w:r>
      <w:r>
        <w:instrText xml:space="preserve">PAGEREF _Toc_4_4_0000000009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w:t>
      </w:r>
      <w:r>
        <w:rPr>
          <w:rFonts w:hint="eastAsia" w:ascii="宋体" w:hAnsi="宋体" w:eastAsia="宋体" w:cs="宋体"/>
        </w:rPr>
        <w:t>审计业务培训费绩效目标表</w:t>
      </w:r>
      <w:r>
        <w:tab/>
      </w:r>
      <w:r>
        <w:fldChar w:fldCharType="begin"/>
      </w:r>
      <w:r>
        <w:instrText xml:space="preserve">PAGEREF _Toc_4_4_0000000010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w:t>
      </w:r>
      <w:r>
        <w:rPr>
          <w:rFonts w:hint="eastAsia" w:ascii="宋体" w:hAnsi="宋体" w:eastAsia="宋体" w:cs="宋体"/>
        </w:rPr>
        <w:t>审计科研项目经费绩效目标表</w:t>
      </w:r>
      <w:r>
        <w:tab/>
      </w:r>
      <w:r>
        <w:fldChar w:fldCharType="begin"/>
      </w:r>
      <w:r>
        <w:instrText xml:space="preserve">PAGEREF _Toc_4_4_0000000011 \h</w:instrText>
      </w:r>
      <w:r>
        <w:fldChar w:fldCharType="separate"/>
      </w:r>
      <w:r>
        <w:t>9</w:t>
      </w:r>
      <w:r>
        <w:fldChar w:fldCharType="end"/>
      </w:r>
      <w:r>
        <w:fldChar w:fldCharType="end"/>
      </w:r>
    </w:p>
    <w:p>
      <w:pPr>
        <w:sectPr>
          <w:footerReference r:id="rId3" w:type="default"/>
          <w:footerReference r:id="rId4" w:type="even"/>
          <w:pgSz w:w="11900" w:h="16840"/>
          <w:pgMar w:top="1984" w:right="1304" w:bottom="1134" w:left="1304" w:header="720" w:footer="720" w:gutter="0"/>
          <w:pgNumType w:fmt="decimal" w:start="1"/>
          <w:cols w:space="720" w:num="1"/>
        </w:sectPr>
      </w:pPr>
      <w:r>
        <w:fldChar w:fldCharType="end"/>
      </w:r>
    </w:p>
    <w:p>
      <w:pPr>
        <w:jc w:val="center"/>
      </w:pPr>
      <w:r>
        <w:rPr>
          <w:rFonts w:ascii="方正仿宋_GBK" w:hAnsi="方正仿宋_GBK" w:eastAsia="方正仿宋_GBK" w:cs="方正仿宋_GBK"/>
          <w:sz w:val="28"/>
          <w:szCs w:val="28"/>
        </w:rPr>
        <w:t xml:space="preserve"> </w:t>
      </w:r>
    </w:p>
    <w:p>
      <w:pPr>
        <w:ind w:firstLine="560"/>
        <w:outlineLvl w:val="3"/>
      </w:pPr>
      <w:bookmarkStart w:id="0" w:name="_Toc_4_4_0000000004"/>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市审计局履职保障经费绩效目标表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市审计局履职保障经费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290.00</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290.00</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用于租赁第二办公用房。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通过租赁第二办公大楼，保障机关日常运转。</w:t>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租赁办公用房面积</w:t>
            </w:r>
          </w:p>
        </w:tc>
        <w:tc>
          <w:tcPr>
            <w:tcW w:w="3430" w:type="dxa"/>
            <w:vAlign w:val="center"/>
          </w:tcPr>
          <w:p>
            <w:pPr>
              <w:pStyle w:val="15"/>
              <w:rPr>
                <w:rFonts w:cs="Times New Roman"/>
              </w:rPr>
            </w:pPr>
            <w:r>
              <w:rPr>
                <w:rFonts w:hint="eastAsia"/>
              </w:rPr>
              <w:t>反映租赁办公用房面积</w:t>
            </w:r>
          </w:p>
        </w:tc>
        <w:tc>
          <w:tcPr>
            <w:tcW w:w="2551" w:type="dxa"/>
            <w:vAlign w:val="center"/>
          </w:tcPr>
          <w:p>
            <w:pPr>
              <w:pStyle w:val="15"/>
              <w:rPr>
                <w:rFonts w:cs="Times New Roman"/>
              </w:rPr>
            </w:pPr>
            <w:r>
              <w:t>3524</w:t>
            </w:r>
            <w:r>
              <w:rPr>
                <w:rFonts w:hint="eastAsia"/>
              </w:rPr>
              <w:t>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维护电梯数量</w:t>
            </w:r>
          </w:p>
        </w:tc>
        <w:tc>
          <w:tcPr>
            <w:tcW w:w="3430" w:type="dxa"/>
            <w:vAlign w:val="center"/>
          </w:tcPr>
          <w:p>
            <w:pPr>
              <w:pStyle w:val="15"/>
              <w:rPr>
                <w:rFonts w:cs="Times New Roman"/>
              </w:rPr>
            </w:pPr>
            <w:r>
              <w:rPr>
                <w:rFonts w:hint="eastAsia"/>
              </w:rPr>
              <w:t>反映电梯的设备数量</w:t>
            </w:r>
          </w:p>
        </w:tc>
        <w:tc>
          <w:tcPr>
            <w:tcW w:w="2551" w:type="dxa"/>
            <w:vAlign w:val="center"/>
          </w:tcPr>
          <w:p>
            <w:pPr>
              <w:pStyle w:val="15"/>
              <w:rPr>
                <w:rFonts w:cs="Times New Roman"/>
              </w:rPr>
            </w:pPr>
            <w:r>
              <w:t>4</w:t>
            </w:r>
            <w:r>
              <w:rPr>
                <w:rFonts w:hint="eastAsia"/>
              </w:rPr>
              <w:t>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办公设备完好率</w:t>
            </w:r>
          </w:p>
        </w:tc>
        <w:tc>
          <w:tcPr>
            <w:tcW w:w="3430" w:type="dxa"/>
            <w:vAlign w:val="center"/>
          </w:tcPr>
          <w:p>
            <w:pPr>
              <w:pStyle w:val="15"/>
              <w:rPr>
                <w:rFonts w:cs="Times New Roman"/>
              </w:rPr>
            </w:pPr>
            <w:r>
              <w:rPr>
                <w:rFonts w:hint="eastAsia"/>
              </w:rPr>
              <w:t>反映办公设备使用情况</w:t>
            </w:r>
          </w:p>
        </w:tc>
        <w:tc>
          <w:tcPr>
            <w:tcW w:w="2551" w:type="dxa"/>
            <w:vAlign w:val="center"/>
          </w:tcPr>
          <w:p>
            <w:pPr>
              <w:pStyle w:val="15"/>
              <w:rPr>
                <w:rFonts w:cs="Times New Roman"/>
              </w:rPr>
            </w:pPr>
            <w:r>
              <w:rPr>
                <w:rFonts w:hint="eastAsia"/>
              </w:rPr>
              <w:t>设施齐全，正常运转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rPr>
                <w:rFonts w:hint="eastAsia"/>
              </w:rPr>
              <w:t>租赁合同签订时间</w:t>
            </w:r>
          </w:p>
        </w:tc>
        <w:tc>
          <w:tcPr>
            <w:tcW w:w="3430" w:type="dxa"/>
            <w:vAlign w:val="center"/>
          </w:tcPr>
          <w:p>
            <w:pPr>
              <w:pStyle w:val="15"/>
              <w:rPr>
                <w:rFonts w:cs="Times New Roman"/>
              </w:rPr>
            </w:pPr>
            <w:r>
              <w:rPr>
                <w:rFonts w:hint="eastAsia"/>
              </w:rPr>
              <w:t>反映租赁合同签订及时情况</w:t>
            </w:r>
          </w:p>
        </w:tc>
        <w:tc>
          <w:tcPr>
            <w:tcW w:w="2551" w:type="dxa"/>
            <w:vAlign w:val="center"/>
          </w:tcPr>
          <w:p>
            <w:pPr>
              <w:pStyle w:val="15"/>
              <w:rPr>
                <w:rFonts w:cs="Times New Roman"/>
              </w:rPr>
            </w:pPr>
            <w:r>
              <w:rPr>
                <w:rFonts w:hint="eastAsia"/>
              </w:rPr>
              <w:t>合同到期后的一个月内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租赁经费</w:t>
            </w:r>
          </w:p>
        </w:tc>
        <w:tc>
          <w:tcPr>
            <w:tcW w:w="3430" w:type="dxa"/>
            <w:vAlign w:val="center"/>
          </w:tcPr>
          <w:p>
            <w:pPr>
              <w:pStyle w:val="15"/>
              <w:rPr>
                <w:rFonts w:cs="Times New Roman"/>
              </w:rPr>
            </w:pPr>
            <w:r>
              <w:rPr>
                <w:rFonts w:hint="eastAsia"/>
              </w:rPr>
              <w:t>反映年度租金及物业费情况</w:t>
            </w:r>
          </w:p>
        </w:tc>
        <w:tc>
          <w:tcPr>
            <w:tcW w:w="2551" w:type="dxa"/>
            <w:vAlign w:val="center"/>
          </w:tcPr>
          <w:p>
            <w:pPr>
              <w:pStyle w:val="15"/>
              <w:rPr>
                <w:rFonts w:cs="Times New Roman"/>
              </w:rPr>
            </w:pPr>
            <w:r>
              <w:rPr>
                <w:rFonts w:hint="eastAsia" w:ascii="宋体" w:hAnsi="宋体" w:eastAsia="宋体" w:cs="宋体"/>
              </w:rPr>
              <w:t>≤</w:t>
            </w:r>
            <w:r>
              <w:t>290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保障机关正常运转</w:t>
            </w:r>
          </w:p>
        </w:tc>
        <w:tc>
          <w:tcPr>
            <w:tcW w:w="3430" w:type="dxa"/>
            <w:vAlign w:val="center"/>
          </w:tcPr>
          <w:p>
            <w:pPr>
              <w:pStyle w:val="15"/>
              <w:rPr>
                <w:rFonts w:cs="Times New Roman"/>
              </w:rPr>
            </w:pPr>
            <w:r>
              <w:rPr>
                <w:rFonts w:hint="eastAsia"/>
              </w:rPr>
              <w:t>反映办公用房保障机关正常履职情况</w:t>
            </w:r>
          </w:p>
        </w:tc>
        <w:tc>
          <w:tcPr>
            <w:tcW w:w="2551" w:type="dxa"/>
            <w:vAlign w:val="center"/>
          </w:tcPr>
          <w:p>
            <w:pPr>
              <w:pStyle w:val="15"/>
              <w:rPr>
                <w:rFonts w:cs="Times New Roman"/>
              </w:rPr>
            </w:pPr>
            <w:r>
              <w:rPr>
                <w:rFonts w:hint="eastAsia"/>
              </w:rPr>
              <w:t>优良中低差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机关干部满意度</w:t>
            </w:r>
          </w:p>
        </w:tc>
        <w:tc>
          <w:tcPr>
            <w:tcW w:w="3430" w:type="dxa"/>
            <w:vAlign w:val="center"/>
          </w:tcPr>
          <w:p>
            <w:pPr>
              <w:pStyle w:val="15"/>
              <w:rPr>
                <w:rFonts w:cs="Times New Roman"/>
              </w:rPr>
            </w:pPr>
            <w:r>
              <w:rPr>
                <w:rFonts w:hint="eastAsia"/>
              </w:rPr>
              <w:t>反映受益群体满意度</w:t>
            </w:r>
          </w:p>
        </w:tc>
        <w:tc>
          <w:tcPr>
            <w:tcW w:w="2551" w:type="dxa"/>
            <w:vAlign w:val="center"/>
          </w:tcPr>
          <w:p>
            <w:pPr>
              <w:pStyle w:val="15"/>
            </w:pPr>
            <w:r>
              <w:rPr>
                <w:rFonts w:hint="eastAsia" w:ascii="宋体" w:hAnsi="宋体" w:eastAsia="宋体" w:cs="宋体"/>
              </w:rPr>
              <w:t>≥</w:t>
            </w:r>
            <w:r>
              <w:t>90%</w:t>
            </w:r>
          </w:p>
        </w:tc>
      </w:tr>
    </w:tbl>
    <w:p>
      <w:pPr>
        <w:sectPr>
          <w:pgSz w:w="11900" w:h="16840"/>
          <w:pgMar w:top="1984" w:right="1304" w:bottom="1134" w:left="1304" w:header="720" w:footer="720" w:gutter="0"/>
          <w:pgNumType w:fmt="decimal"/>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1" w:name="_Toc_4_4_0000000005"/>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信息化运维项目经费绩效目标表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信息化运维项目经费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186.30</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186.30</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用于开展信息化项目运维服务。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过对信息化系统实施运维服务，确保我局机房、网络和信息系统及相关软硬件设备设施的安全、稳定、高效运行；提高运行维护效率，规范运行维护成本的科学化管控，实现维护质量与维护成本的均衡。</w:t>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信息化运维范围</w:t>
            </w:r>
          </w:p>
        </w:tc>
        <w:tc>
          <w:tcPr>
            <w:tcW w:w="3430" w:type="dxa"/>
            <w:vAlign w:val="center"/>
          </w:tcPr>
          <w:p>
            <w:pPr>
              <w:pStyle w:val="15"/>
              <w:rPr>
                <w:rFonts w:cs="Times New Roman"/>
              </w:rPr>
            </w:pPr>
            <w:r>
              <w:rPr>
                <w:rFonts w:hint="eastAsia"/>
              </w:rPr>
              <w:t>系统运维、安全服务</w:t>
            </w:r>
          </w:p>
        </w:tc>
        <w:tc>
          <w:tcPr>
            <w:tcW w:w="2551" w:type="dxa"/>
            <w:vAlign w:val="center"/>
          </w:tcPr>
          <w:p>
            <w:pPr>
              <w:pStyle w:val="15"/>
              <w:rPr>
                <w:rFonts w:cs="Times New Roman"/>
              </w:rPr>
            </w:pPr>
            <w:r>
              <w:rPr>
                <w:rFonts w:hint="eastAsia" w:ascii="宋体" w:hAnsi="宋体" w:eastAsia="宋体" w:cs="宋体"/>
              </w:rPr>
              <w:t>≥</w:t>
            </w:r>
            <w:r>
              <w:t>2</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系统运维验收合格率</w:t>
            </w:r>
          </w:p>
        </w:tc>
        <w:tc>
          <w:tcPr>
            <w:tcW w:w="3430" w:type="dxa"/>
            <w:vAlign w:val="center"/>
          </w:tcPr>
          <w:p>
            <w:pPr>
              <w:pStyle w:val="15"/>
              <w:rPr>
                <w:rFonts w:cs="Times New Roman"/>
              </w:rPr>
            </w:pPr>
            <w:r>
              <w:rPr>
                <w:rFonts w:hint="eastAsia"/>
              </w:rPr>
              <w:t>系统运维验收合格率</w:t>
            </w:r>
          </w:p>
        </w:tc>
        <w:tc>
          <w:tcPr>
            <w:tcW w:w="2551" w:type="dxa"/>
            <w:vAlign w:val="center"/>
          </w:tcPr>
          <w:p>
            <w:pPr>
              <w:pStyle w:val="15"/>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等保测评项目交付物与合同要求相符率</w:t>
            </w:r>
          </w:p>
        </w:tc>
        <w:tc>
          <w:tcPr>
            <w:tcW w:w="3430" w:type="dxa"/>
            <w:vAlign w:val="center"/>
          </w:tcPr>
          <w:p>
            <w:pPr>
              <w:pStyle w:val="15"/>
              <w:rPr>
                <w:rFonts w:cs="Times New Roman"/>
              </w:rPr>
            </w:pPr>
            <w:r>
              <w:rPr>
                <w:rFonts w:hint="eastAsia"/>
              </w:rPr>
              <w:t>等保测评项目交付物与合同要求相符率</w:t>
            </w:r>
          </w:p>
        </w:tc>
        <w:tc>
          <w:tcPr>
            <w:tcW w:w="2551" w:type="dxa"/>
            <w:vAlign w:val="center"/>
          </w:tcPr>
          <w:p>
            <w:pPr>
              <w:pStyle w:val="15"/>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rPr>
                <w:rFonts w:hint="eastAsia"/>
              </w:rPr>
              <w:t>系统故障修复处理时间</w:t>
            </w:r>
          </w:p>
        </w:tc>
        <w:tc>
          <w:tcPr>
            <w:tcW w:w="3430" w:type="dxa"/>
            <w:vAlign w:val="center"/>
          </w:tcPr>
          <w:p>
            <w:pPr>
              <w:pStyle w:val="15"/>
              <w:rPr>
                <w:rFonts w:cs="Times New Roman"/>
              </w:rPr>
            </w:pPr>
            <w:r>
              <w:rPr>
                <w:rFonts w:hint="eastAsia"/>
              </w:rPr>
              <w:t>系统故障修复处理时间</w:t>
            </w:r>
          </w:p>
        </w:tc>
        <w:tc>
          <w:tcPr>
            <w:tcW w:w="2551" w:type="dxa"/>
            <w:vAlign w:val="center"/>
          </w:tcPr>
          <w:p>
            <w:pPr>
              <w:pStyle w:val="15"/>
              <w:rPr>
                <w:rFonts w:cs="Times New Roman"/>
              </w:rPr>
            </w:pPr>
            <w:r>
              <w:rPr>
                <w:rFonts w:hint="eastAsia" w:ascii="宋体" w:hAnsi="宋体" w:eastAsia="宋体" w:cs="宋体"/>
              </w:rPr>
              <w:t>≤</w:t>
            </w:r>
            <w:r>
              <w:t>24</w:t>
            </w:r>
            <w:r>
              <w:rPr>
                <w:rFonts w:hint="eastAsia"/>
              </w:rPr>
              <w:t>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信息化运维成本</w:t>
            </w:r>
          </w:p>
        </w:tc>
        <w:tc>
          <w:tcPr>
            <w:tcW w:w="3430" w:type="dxa"/>
            <w:vAlign w:val="center"/>
          </w:tcPr>
          <w:p>
            <w:pPr>
              <w:pStyle w:val="15"/>
              <w:rPr>
                <w:rFonts w:cs="Times New Roman"/>
              </w:rPr>
            </w:pPr>
            <w:r>
              <w:rPr>
                <w:rFonts w:hint="eastAsia"/>
              </w:rPr>
              <w:t>信息化运维成本</w:t>
            </w:r>
          </w:p>
        </w:tc>
        <w:tc>
          <w:tcPr>
            <w:tcW w:w="2551" w:type="dxa"/>
            <w:vAlign w:val="center"/>
          </w:tcPr>
          <w:p>
            <w:pPr>
              <w:pStyle w:val="15"/>
              <w:rPr>
                <w:rFonts w:cs="Times New Roman"/>
              </w:rPr>
            </w:pPr>
            <w:r>
              <w:rPr>
                <w:rFonts w:hint="eastAsia" w:ascii="宋体" w:hAnsi="宋体" w:eastAsia="宋体" w:cs="宋体"/>
              </w:rPr>
              <w:t>≤</w:t>
            </w:r>
            <w:r>
              <w:t>186.3</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信息化建设及运行维护资金在审计工作中的实际运用率。</w:t>
            </w:r>
          </w:p>
        </w:tc>
        <w:tc>
          <w:tcPr>
            <w:tcW w:w="3430" w:type="dxa"/>
            <w:vAlign w:val="center"/>
          </w:tcPr>
          <w:p>
            <w:pPr>
              <w:pStyle w:val="15"/>
              <w:rPr>
                <w:rFonts w:cs="Times New Roman"/>
              </w:rPr>
            </w:pPr>
            <w:r>
              <w:rPr>
                <w:rFonts w:hint="eastAsia"/>
              </w:rPr>
              <w:t>信息化建设及运行维护资金在审计工作中的实际运用率。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审计系统使用满意度</w:t>
            </w:r>
          </w:p>
        </w:tc>
        <w:tc>
          <w:tcPr>
            <w:tcW w:w="3430" w:type="dxa"/>
            <w:vAlign w:val="center"/>
          </w:tcPr>
          <w:p>
            <w:pPr>
              <w:pStyle w:val="15"/>
              <w:rPr>
                <w:rFonts w:cs="Times New Roman"/>
              </w:rPr>
            </w:pPr>
            <w:r>
              <w:rPr>
                <w:rFonts w:hint="eastAsia"/>
              </w:rPr>
              <w:t>审计系统使用满意度</w:t>
            </w:r>
          </w:p>
        </w:tc>
        <w:tc>
          <w:tcPr>
            <w:tcW w:w="2551" w:type="dxa"/>
            <w:vAlign w:val="center"/>
          </w:tcPr>
          <w:p>
            <w:pPr>
              <w:pStyle w:val="15"/>
            </w:pPr>
            <w:r>
              <w:rPr>
                <w:rFonts w:hint="eastAsia" w:ascii="宋体" w:hAnsi="宋体" w:eastAsia="宋体" w:cs="宋体"/>
              </w:rPr>
              <w:t>≥</w:t>
            </w:r>
            <w:r>
              <w:t>90%</w:t>
            </w:r>
          </w:p>
        </w:tc>
      </w:tr>
    </w:tbl>
    <w:p>
      <w:pPr>
        <w:sectPr>
          <w:pgSz w:w="11900" w:h="16840"/>
          <w:pgMar w:top="1984" w:right="1304" w:bottom="1134" w:left="1304" w:header="720" w:footer="720" w:gutter="0"/>
          <w:pgNumType w:fmt="decimal"/>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2" w:name="_Toc_4_4_0000000006"/>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档案数字化扫描绩效目标表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档案数字化扫描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30.00</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30.00</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用于开展档案数字化扫描。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通过扫描文书，提高档案信息化率</w:t>
            </w:r>
            <w:r>
              <w:t>,</w:t>
            </w:r>
            <w:r>
              <w:rPr>
                <w:rFonts w:hint="eastAsia"/>
              </w:rPr>
              <w:t>提高审计干部查阅档案效率。</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数量指标</w:t>
            </w:r>
          </w:p>
        </w:tc>
        <w:tc>
          <w:tcPr>
            <w:tcW w:w="3430" w:type="dxa"/>
            <w:vAlign w:val="center"/>
          </w:tcPr>
          <w:p>
            <w:pPr>
              <w:pStyle w:val="15"/>
              <w:rPr>
                <w:rFonts w:cs="Times New Roman"/>
              </w:rPr>
            </w:pPr>
            <w:r>
              <w:rPr>
                <w:rFonts w:hint="eastAsia"/>
              </w:rPr>
              <w:t>扫描文件数量</w:t>
            </w:r>
          </w:p>
        </w:tc>
        <w:tc>
          <w:tcPr>
            <w:tcW w:w="2551" w:type="dxa"/>
            <w:vAlign w:val="center"/>
          </w:tcPr>
          <w:p>
            <w:pPr>
              <w:pStyle w:val="15"/>
              <w:rPr>
                <w:rFonts w:cs="Times New Roman"/>
              </w:rPr>
            </w:pPr>
            <w:r>
              <w:rPr>
                <w:rFonts w:hint="eastAsia" w:ascii="宋体" w:hAnsi="宋体" w:eastAsia="宋体" w:cs="宋体"/>
              </w:rPr>
              <w:t>≥</w:t>
            </w:r>
            <w:r>
              <w:t>40</w:t>
            </w:r>
            <w:r>
              <w:rPr>
                <w:rFonts w:hint="eastAsia"/>
              </w:rPr>
              <w:t>万页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质量指标</w:t>
            </w:r>
          </w:p>
        </w:tc>
        <w:tc>
          <w:tcPr>
            <w:tcW w:w="3430" w:type="dxa"/>
            <w:vAlign w:val="center"/>
          </w:tcPr>
          <w:p>
            <w:pPr>
              <w:pStyle w:val="15"/>
              <w:rPr>
                <w:rFonts w:cs="Times New Roman"/>
              </w:rPr>
            </w:pPr>
            <w:r>
              <w:rPr>
                <w:rFonts w:hint="eastAsia"/>
              </w:rPr>
              <w:t>扫描合格率</w:t>
            </w:r>
          </w:p>
        </w:tc>
        <w:tc>
          <w:tcPr>
            <w:tcW w:w="2551" w:type="dxa"/>
            <w:vAlign w:val="center"/>
          </w:tcPr>
          <w:p>
            <w:pPr>
              <w:pStyle w:val="15"/>
            </w:pPr>
            <w:r>
              <w:rPr>
                <w:rFonts w:hint="eastAsia" w:ascii="宋体" w:hAnsi="宋体" w:eastAsia="宋体" w:cs="宋体"/>
              </w:rPr>
              <w:t>≥</w:t>
            </w: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rPr>
                <w:rFonts w:hint="eastAsia"/>
              </w:rPr>
              <w:t>时效指标</w:t>
            </w:r>
          </w:p>
        </w:tc>
        <w:tc>
          <w:tcPr>
            <w:tcW w:w="3430" w:type="dxa"/>
            <w:vAlign w:val="center"/>
          </w:tcPr>
          <w:p>
            <w:pPr>
              <w:pStyle w:val="15"/>
              <w:rPr>
                <w:rFonts w:cs="Times New Roman"/>
              </w:rPr>
            </w:pPr>
            <w:r>
              <w:rPr>
                <w:rFonts w:hint="eastAsia"/>
              </w:rPr>
              <w:t>按时完成率</w:t>
            </w:r>
          </w:p>
        </w:tc>
        <w:tc>
          <w:tcPr>
            <w:tcW w:w="2551" w:type="dxa"/>
            <w:vAlign w:val="center"/>
          </w:tcPr>
          <w:p>
            <w:pPr>
              <w:pStyle w:val="15"/>
            </w:pPr>
            <w:r>
              <w:rPr>
                <w:rFonts w:hint="eastAsia" w:ascii="宋体" w:hAnsi="宋体" w:eastAsia="宋体" w:cs="宋体"/>
              </w:rPr>
              <w:t>≥</w:t>
            </w: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成本指标</w:t>
            </w:r>
          </w:p>
        </w:tc>
        <w:tc>
          <w:tcPr>
            <w:tcW w:w="3430" w:type="dxa"/>
            <w:vAlign w:val="center"/>
          </w:tcPr>
          <w:p>
            <w:pPr>
              <w:pStyle w:val="15"/>
              <w:rPr>
                <w:rFonts w:cs="Times New Roman"/>
              </w:rPr>
            </w:pPr>
            <w:r>
              <w:rPr>
                <w:rFonts w:hint="eastAsia"/>
              </w:rPr>
              <w:t>成本指标</w:t>
            </w:r>
          </w:p>
        </w:tc>
        <w:tc>
          <w:tcPr>
            <w:tcW w:w="2551" w:type="dxa"/>
            <w:vAlign w:val="center"/>
          </w:tcPr>
          <w:p>
            <w:pPr>
              <w:pStyle w:val="15"/>
              <w:rPr>
                <w:rFonts w:cs="Times New Roman"/>
              </w:rPr>
            </w:pPr>
            <w:r>
              <w:rPr>
                <w:rFonts w:hint="eastAsia" w:ascii="宋体" w:hAnsi="宋体" w:eastAsia="宋体" w:cs="宋体"/>
              </w:rPr>
              <w:t>≤</w:t>
            </w:r>
            <w:r>
              <w:t>30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经济效益指标</w:t>
            </w:r>
          </w:p>
        </w:tc>
        <w:tc>
          <w:tcPr>
            <w:tcW w:w="3430" w:type="dxa"/>
            <w:vAlign w:val="center"/>
          </w:tcPr>
          <w:p>
            <w:pPr>
              <w:pStyle w:val="15"/>
              <w:rPr>
                <w:rFonts w:cs="Times New Roman"/>
              </w:rPr>
            </w:pPr>
            <w:r>
              <w:rPr>
                <w:rFonts w:hint="eastAsia"/>
              </w:rPr>
              <w:t>提高审计档案查阅时效</w:t>
            </w:r>
          </w:p>
        </w:tc>
        <w:tc>
          <w:tcPr>
            <w:tcW w:w="2551" w:type="dxa"/>
            <w:vAlign w:val="center"/>
          </w:tcPr>
          <w:p>
            <w:pPr>
              <w:pStyle w:val="15"/>
              <w:rPr>
                <w:rFonts w:cs="Times New Roman"/>
              </w:rPr>
            </w:pPr>
            <w:r>
              <w:rPr>
                <w:rFonts w:hint="eastAsia"/>
              </w:rP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服务对象满意度指标</w:t>
            </w:r>
          </w:p>
        </w:tc>
        <w:tc>
          <w:tcPr>
            <w:tcW w:w="3430" w:type="dxa"/>
            <w:vAlign w:val="center"/>
          </w:tcPr>
          <w:p>
            <w:pPr>
              <w:pStyle w:val="15"/>
              <w:rPr>
                <w:rFonts w:cs="Times New Roman"/>
              </w:rPr>
            </w:pPr>
            <w:r>
              <w:rPr>
                <w:rFonts w:hint="eastAsia"/>
              </w:rPr>
              <w:t>审计干部满意度</w:t>
            </w:r>
          </w:p>
        </w:tc>
        <w:tc>
          <w:tcPr>
            <w:tcW w:w="2551" w:type="dxa"/>
            <w:vAlign w:val="center"/>
          </w:tcPr>
          <w:p>
            <w:pPr>
              <w:pStyle w:val="15"/>
            </w:pPr>
            <w:r>
              <w:rPr>
                <w:rFonts w:hint="eastAsia" w:ascii="宋体" w:hAnsi="宋体" w:eastAsia="宋体" w:cs="宋体"/>
              </w:rPr>
              <w:t>≥</w:t>
            </w:r>
            <w:r>
              <w:t>80%</w:t>
            </w:r>
          </w:p>
        </w:tc>
      </w:tr>
    </w:tbl>
    <w:p>
      <w:pPr>
        <w:sectPr>
          <w:pgSz w:w="11900" w:h="16840"/>
          <w:pgMar w:top="1984" w:right="1304" w:bottom="1134" w:left="1304" w:header="720" w:footer="720" w:gutter="0"/>
          <w:pgNumType w:fmt="decimal"/>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3" w:name="_Toc_4_4_0000000007"/>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金审工程（三期）项目</w:t>
      </w:r>
      <w:r>
        <w:rPr>
          <w:rFonts w:ascii="方正仿宋_GBK" w:hAnsi="方正仿宋_GBK" w:eastAsia="方正仿宋_GBK" w:cs="方正仿宋_GBK"/>
          <w:sz w:val="28"/>
          <w:szCs w:val="28"/>
        </w:rPr>
        <w:t>-2024</w:t>
      </w:r>
      <w:r>
        <w:rPr>
          <w:rFonts w:hint="eastAsia" w:ascii="方正仿宋_GBK" w:hAnsi="方正仿宋_GBK" w:eastAsia="方正仿宋_GBK" w:cs="方正仿宋_GBK"/>
          <w:sz w:val="28"/>
          <w:szCs w:val="28"/>
        </w:rPr>
        <w:t>债券利息绩效目标表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金审工程（三期）项目</w:t>
            </w:r>
            <w:r>
              <w:t>-2024</w:t>
            </w:r>
            <w:r>
              <w:rPr>
                <w:rFonts w:hint="eastAsia"/>
              </w:rP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7.42</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7.42</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用于偿还债券利息。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通过按时完成债券付息，保障投资者权益。</w:t>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偿还债券项目</w:t>
            </w:r>
          </w:p>
        </w:tc>
        <w:tc>
          <w:tcPr>
            <w:tcW w:w="3430" w:type="dxa"/>
            <w:vAlign w:val="center"/>
          </w:tcPr>
          <w:p>
            <w:pPr>
              <w:pStyle w:val="15"/>
              <w:rPr>
                <w:rFonts w:cs="Times New Roman"/>
              </w:rPr>
            </w:pPr>
            <w:r>
              <w:rPr>
                <w:rFonts w:hint="eastAsia"/>
              </w:rPr>
              <w:t>偿还债券项目</w:t>
            </w:r>
          </w:p>
        </w:tc>
        <w:tc>
          <w:tcPr>
            <w:tcW w:w="2551" w:type="dxa"/>
            <w:vAlign w:val="center"/>
          </w:tcPr>
          <w:p>
            <w:pPr>
              <w:pStyle w:val="15"/>
              <w:rPr>
                <w:rFonts w:cs="Times New Roman"/>
              </w:rPr>
            </w:pPr>
            <w:r>
              <w:t>1</w:t>
            </w:r>
            <w:r>
              <w:rPr>
                <w:rFonts w:hint="eastAsia"/>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债券利息发放率</w:t>
            </w:r>
          </w:p>
        </w:tc>
        <w:tc>
          <w:tcPr>
            <w:tcW w:w="3430" w:type="dxa"/>
            <w:vAlign w:val="center"/>
          </w:tcPr>
          <w:p>
            <w:pPr>
              <w:pStyle w:val="15"/>
              <w:rPr>
                <w:rFonts w:cs="Times New Roman"/>
              </w:rPr>
            </w:pPr>
            <w:r>
              <w:rPr>
                <w:rFonts w:hint="eastAsia"/>
              </w:rPr>
              <w:t>债券利息发放率</w:t>
            </w:r>
          </w:p>
        </w:tc>
        <w:tc>
          <w:tcPr>
            <w:tcW w:w="2551" w:type="dxa"/>
            <w:vAlign w:val="center"/>
          </w:tcPr>
          <w:p>
            <w:pPr>
              <w:pStyle w:val="15"/>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rPr>
                <w:rFonts w:hint="eastAsia"/>
              </w:rPr>
              <w:t>偿还债务利息及时率</w:t>
            </w:r>
          </w:p>
        </w:tc>
        <w:tc>
          <w:tcPr>
            <w:tcW w:w="3430" w:type="dxa"/>
            <w:vAlign w:val="center"/>
          </w:tcPr>
          <w:p>
            <w:pPr>
              <w:pStyle w:val="15"/>
              <w:rPr>
                <w:rFonts w:cs="Times New Roman"/>
              </w:rPr>
            </w:pPr>
            <w:r>
              <w:rPr>
                <w:rFonts w:hint="eastAsia"/>
              </w:rPr>
              <w:t>偿还债务利息及时率</w:t>
            </w:r>
          </w:p>
        </w:tc>
        <w:tc>
          <w:tcPr>
            <w:tcW w:w="2551" w:type="dxa"/>
            <w:vAlign w:val="center"/>
          </w:tcPr>
          <w:p>
            <w:pPr>
              <w:pStyle w:val="15"/>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偿还债券利息金额</w:t>
            </w:r>
          </w:p>
        </w:tc>
        <w:tc>
          <w:tcPr>
            <w:tcW w:w="3430" w:type="dxa"/>
            <w:vAlign w:val="center"/>
          </w:tcPr>
          <w:p>
            <w:pPr>
              <w:pStyle w:val="15"/>
              <w:rPr>
                <w:rFonts w:cs="Times New Roman"/>
              </w:rPr>
            </w:pPr>
            <w:r>
              <w:rPr>
                <w:rFonts w:hint="eastAsia"/>
              </w:rPr>
              <w:t>偿还债券利息金额</w:t>
            </w:r>
          </w:p>
        </w:tc>
        <w:tc>
          <w:tcPr>
            <w:tcW w:w="2551" w:type="dxa"/>
            <w:vAlign w:val="center"/>
          </w:tcPr>
          <w:p>
            <w:pPr>
              <w:pStyle w:val="15"/>
              <w:rPr>
                <w:rFonts w:cs="Times New Roman"/>
              </w:rPr>
            </w:pPr>
            <w:r>
              <w:t>7.42</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保障债券收益人权益</w:t>
            </w:r>
          </w:p>
        </w:tc>
        <w:tc>
          <w:tcPr>
            <w:tcW w:w="3430" w:type="dxa"/>
            <w:vAlign w:val="center"/>
          </w:tcPr>
          <w:p>
            <w:pPr>
              <w:pStyle w:val="15"/>
              <w:rPr>
                <w:rFonts w:cs="Times New Roman"/>
              </w:rPr>
            </w:pPr>
            <w:r>
              <w:rPr>
                <w:rFonts w:hint="eastAsia"/>
              </w:rPr>
              <w:t>保障债券收益人权益</w:t>
            </w:r>
          </w:p>
        </w:tc>
        <w:tc>
          <w:tcPr>
            <w:tcW w:w="2551" w:type="dxa"/>
            <w:vAlign w:val="center"/>
          </w:tcPr>
          <w:p>
            <w:pPr>
              <w:pStyle w:val="15"/>
              <w:rPr>
                <w:rFonts w:cs="Times New Roman"/>
              </w:rPr>
            </w:pPr>
            <w:r>
              <w:rPr>
                <w:rFonts w:hint="eastAsia"/>
              </w:rP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公众对偿还债券利息投诉次数</w:t>
            </w:r>
          </w:p>
        </w:tc>
        <w:tc>
          <w:tcPr>
            <w:tcW w:w="3430" w:type="dxa"/>
            <w:vAlign w:val="center"/>
          </w:tcPr>
          <w:p>
            <w:pPr>
              <w:pStyle w:val="15"/>
              <w:rPr>
                <w:rFonts w:cs="Times New Roman"/>
              </w:rPr>
            </w:pPr>
            <w:r>
              <w:rPr>
                <w:rFonts w:hint="eastAsia"/>
              </w:rPr>
              <w:t>公众对偿还债券利息投诉次数</w:t>
            </w:r>
          </w:p>
        </w:tc>
        <w:tc>
          <w:tcPr>
            <w:tcW w:w="2551" w:type="dxa"/>
            <w:vAlign w:val="center"/>
          </w:tcPr>
          <w:p>
            <w:pPr>
              <w:pStyle w:val="15"/>
              <w:rPr>
                <w:rFonts w:cs="Times New Roman"/>
              </w:rPr>
            </w:pPr>
            <w:r>
              <w:rPr>
                <w:rFonts w:hint="eastAsia" w:ascii="宋体" w:hAnsi="宋体" w:eastAsia="宋体" w:cs="宋体"/>
              </w:rPr>
              <w:t>≤</w:t>
            </w:r>
            <w:r>
              <w:t>2</w:t>
            </w:r>
            <w:r>
              <w:rPr>
                <w:rFonts w:hint="eastAsia"/>
              </w:rPr>
              <w:t>次</w:t>
            </w:r>
          </w:p>
        </w:tc>
      </w:tr>
    </w:tbl>
    <w:p>
      <w:pPr>
        <w:sectPr>
          <w:pgSz w:w="11900" w:h="16840"/>
          <w:pgMar w:top="1984" w:right="1304" w:bottom="1134" w:left="1304" w:header="720" w:footer="720" w:gutter="0"/>
          <w:pgNumType w:fmt="decimal"/>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4" w:name="_Toc_4_4_0000000008"/>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审计署拨专项经费绩效目标表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审计署拨专项经费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180.00</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 xml:space="preserve"> </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用于开展审计署组织审计项目工作经费。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通过履行审计职责，开展各类审计项目，维护财政资金安全，提高财政资金效益，规范财务运行，有效揭示财经领域违法犯罪，推动相关部门和单位规范管理。</w:t>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提出审计建议（条）</w:t>
            </w:r>
          </w:p>
        </w:tc>
        <w:tc>
          <w:tcPr>
            <w:tcW w:w="3430" w:type="dxa"/>
            <w:vAlign w:val="center"/>
          </w:tcPr>
          <w:p>
            <w:pPr>
              <w:pStyle w:val="15"/>
              <w:rPr>
                <w:rFonts w:cs="Times New Roman"/>
              </w:rPr>
            </w:pPr>
            <w:r>
              <w:rPr>
                <w:rFonts w:hint="eastAsia"/>
              </w:rPr>
              <w:t>提出审计建议（条）</w:t>
            </w:r>
          </w:p>
        </w:tc>
        <w:tc>
          <w:tcPr>
            <w:tcW w:w="2551" w:type="dxa"/>
            <w:vAlign w:val="center"/>
          </w:tcPr>
          <w:p>
            <w:pPr>
              <w:pStyle w:val="15"/>
              <w:rPr>
                <w:rFonts w:cs="Times New Roman"/>
              </w:rPr>
            </w:pPr>
            <w:r>
              <w:rPr>
                <w:rFonts w:hint="eastAsia" w:ascii="宋体" w:hAnsi="宋体" w:eastAsia="宋体" w:cs="宋体"/>
              </w:rPr>
              <w:t>≥</w:t>
            </w:r>
            <w:r>
              <w:t>8</w:t>
            </w:r>
            <w:r>
              <w:rPr>
                <w:rFonts w:hint="eastAsia"/>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提交各类审计报告和信息简报数量（篇）</w:t>
            </w:r>
          </w:p>
        </w:tc>
        <w:tc>
          <w:tcPr>
            <w:tcW w:w="3430" w:type="dxa"/>
            <w:vAlign w:val="center"/>
          </w:tcPr>
          <w:p>
            <w:pPr>
              <w:pStyle w:val="15"/>
              <w:rPr>
                <w:rFonts w:cs="Times New Roman"/>
              </w:rPr>
            </w:pPr>
            <w:r>
              <w:rPr>
                <w:rFonts w:hint="eastAsia"/>
              </w:rPr>
              <w:t>提交各类审计报告和信息简报数量（篇）</w:t>
            </w:r>
          </w:p>
        </w:tc>
        <w:tc>
          <w:tcPr>
            <w:tcW w:w="2551" w:type="dxa"/>
            <w:vAlign w:val="center"/>
          </w:tcPr>
          <w:p>
            <w:pPr>
              <w:pStyle w:val="15"/>
              <w:rPr>
                <w:rFonts w:cs="Times New Roman"/>
              </w:rPr>
            </w:pPr>
            <w:r>
              <w:rPr>
                <w:rFonts w:hint="eastAsia" w:ascii="宋体" w:hAnsi="宋体" w:eastAsia="宋体" w:cs="宋体"/>
              </w:rPr>
              <w:t>≥</w:t>
            </w:r>
            <w:r>
              <w:t>4</w:t>
            </w:r>
            <w:r>
              <w:rPr>
                <w:rFonts w:hint="eastAsia"/>
              </w:rPr>
              <w:t>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审计程序合规合法性</w:t>
            </w:r>
          </w:p>
        </w:tc>
        <w:tc>
          <w:tcPr>
            <w:tcW w:w="3430" w:type="dxa"/>
            <w:vAlign w:val="center"/>
          </w:tcPr>
          <w:p>
            <w:pPr>
              <w:pStyle w:val="15"/>
              <w:rPr>
                <w:rFonts w:cs="Times New Roman"/>
              </w:rPr>
            </w:pPr>
            <w:r>
              <w:rPr>
                <w:rFonts w:hint="eastAsia"/>
              </w:rPr>
              <w:t>反映审计通知书送达、审计底稿取证、审计报告征求意见、审计档案归档等情况。</w:t>
            </w:r>
          </w:p>
        </w:tc>
        <w:tc>
          <w:tcPr>
            <w:tcW w:w="2551" w:type="dxa"/>
            <w:vAlign w:val="center"/>
          </w:tcPr>
          <w:p>
            <w:pPr>
              <w:pStyle w:val="15"/>
              <w:rPr>
                <w:rFonts w:cs="Times New Roman"/>
              </w:rPr>
            </w:pPr>
            <w:r>
              <w:rPr>
                <w:rFonts w:hint="eastAsia"/>
              </w:rPr>
              <w:t>反映审计通知书送达、审计底稿取证、审计报告征求意见、审计档案归档等情况。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rPr>
                <w:rFonts w:hint="eastAsia"/>
              </w:rPr>
              <w:t>未按时完成的审计项目（个）</w:t>
            </w:r>
          </w:p>
        </w:tc>
        <w:tc>
          <w:tcPr>
            <w:tcW w:w="3430" w:type="dxa"/>
            <w:vAlign w:val="center"/>
          </w:tcPr>
          <w:p>
            <w:pPr>
              <w:pStyle w:val="15"/>
              <w:rPr>
                <w:rFonts w:cs="Times New Roman"/>
              </w:rPr>
            </w:pPr>
            <w:r>
              <w:rPr>
                <w:rFonts w:hint="eastAsia"/>
              </w:rPr>
              <w:t>未按时完成的审计项目（个）</w:t>
            </w:r>
          </w:p>
        </w:tc>
        <w:tc>
          <w:tcPr>
            <w:tcW w:w="2551" w:type="dxa"/>
            <w:vAlign w:val="center"/>
          </w:tcPr>
          <w:p>
            <w:pPr>
              <w:pStyle w:val="15"/>
              <w:rPr>
                <w:rFonts w:cs="Times New Roman"/>
              </w:rPr>
            </w:pPr>
            <w:r>
              <w:rPr>
                <w:rFonts w:hint="eastAsia" w:ascii="宋体" w:hAnsi="宋体" w:eastAsia="宋体" w:cs="宋体"/>
              </w:rPr>
              <w:t>≤</w:t>
            </w:r>
            <w:r>
              <w:t>0</w:t>
            </w:r>
            <w:r>
              <w:rPr>
                <w:rFonts w:hint="eastAsia"/>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审计外勤经费支出</w:t>
            </w:r>
          </w:p>
        </w:tc>
        <w:tc>
          <w:tcPr>
            <w:tcW w:w="3430" w:type="dxa"/>
            <w:vAlign w:val="center"/>
          </w:tcPr>
          <w:p>
            <w:pPr>
              <w:pStyle w:val="15"/>
              <w:rPr>
                <w:rFonts w:cs="Times New Roman"/>
              </w:rPr>
            </w:pPr>
            <w:r>
              <w:rPr>
                <w:rFonts w:hint="eastAsia"/>
              </w:rPr>
              <w:t>审计外勤经费支出成本</w:t>
            </w:r>
          </w:p>
        </w:tc>
        <w:tc>
          <w:tcPr>
            <w:tcW w:w="2551" w:type="dxa"/>
            <w:vAlign w:val="center"/>
          </w:tcPr>
          <w:p>
            <w:pPr>
              <w:pStyle w:val="15"/>
              <w:rPr>
                <w:rFonts w:cs="Times New Roman"/>
              </w:rPr>
            </w:pPr>
            <w:r>
              <w:rPr>
                <w:rFonts w:hint="eastAsia" w:ascii="宋体" w:hAnsi="宋体" w:eastAsia="宋体" w:cs="宋体"/>
              </w:rPr>
              <w:t>≤</w:t>
            </w:r>
            <w:r>
              <w:t>180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经济效益指标</w:t>
            </w:r>
          </w:p>
        </w:tc>
        <w:tc>
          <w:tcPr>
            <w:tcW w:w="1332" w:type="dxa"/>
            <w:vAlign w:val="center"/>
          </w:tcPr>
          <w:p>
            <w:pPr>
              <w:pStyle w:val="15"/>
              <w:rPr>
                <w:rFonts w:cs="Times New Roman"/>
              </w:rPr>
            </w:pPr>
            <w:r>
              <w:rPr>
                <w:rFonts w:hint="eastAsia"/>
              </w:rPr>
              <w:t>被审计单位调账处理（万元）</w:t>
            </w:r>
          </w:p>
        </w:tc>
        <w:tc>
          <w:tcPr>
            <w:tcW w:w="3430" w:type="dxa"/>
            <w:vAlign w:val="center"/>
          </w:tcPr>
          <w:p>
            <w:pPr>
              <w:pStyle w:val="15"/>
              <w:rPr>
                <w:rFonts w:cs="Times New Roman"/>
              </w:rPr>
            </w:pPr>
            <w:r>
              <w:rPr>
                <w:rFonts w:hint="eastAsia"/>
              </w:rPr>
              <w:t>被审计单位调账处理（万元）</w:t>
            </w:r>
          </w:p>
        </w:tc>
        <w:tc>
          <w:tcPr>
            <w:tcW w:w="2551" w:type="dxa"/>
            <w:vAlign w:val="center"/>
          </w:tcPr>
          <w:p>
            <w:pPr>
              <w:pStyle w:val="15"/>
              <w:rPr>
                <w:rFonts w:cs="Times New Roman"/>
              </w:rPr>
            </w:pPr>
            <w:r>
              <w:rPr>
                <w:rFonts w:hint="eastAsia" w:ascii="宋体" w:hAnsi="宋体" w:eastAsia="宋体" w:cs="宋体"/>
              </w:rPr>
              <w:t>≥</w:t>
            </w:r>
            <w:r>
              <w:t>200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可持续影响指标</w:t>
            </w:r>
          </w:p>
        </w:tc>
        <w:tc>
          <w:tcPr>
            <w:tcW w:w="1332" w:type="dxa"/>
            <w:vAlign w:val="center"/>
          </w:tcPr>
          <w:p>
            <w:pPr>
              <w:pStyle w:val="15"/>
              <w:rPr>
                <w:rFonts w:cs="Times New Roman"/>
              </w:rPr>
            </w:pPr>
            <w:r>
              <w:rPr>
                <w:rFonts w:hint="eastAsia"/>
              </w:rPr>
              <w:t>根据审计建议建立健全规章制度数量</w:t>
            </w:r>
          </w:p>
        </w:tc>
        <w:tc>
          <w:tcPr>
            <w:tcW w:w="3430" w:type="dxa"/>
            <w:vAlign w:val="center"/>
          </w:tcPr>
          <w:p>
            <w:pPr>
              <w:pStyle w:val="15"/>
              <w:rPr>
                <w:rFonts w:cs="Times New Roman"/>
              </w:rPr>
            </w:pPr>
            <w:r>
              <w:rPr>
                <w:rFonts w:hint="eastAsia"/>
              </w:rPr>
              <w:t>反映被审计单位根据审计建议建立健全规章制度的数量</w:t>
            </w:r>
          </w:p>
        </w:tc>
        <w:tc>
          <w:tcPr>
            <w:tcW w:w="2551" w:type="dxa"/>
            <w:vAlign w:val="center"/>
          </w:tcPr>
          <w:p>
            <w:pPr>
              <w:pStyle w:val="15"/>
              <w:rPr>
                <w:rFonts w:cs="Times New Roman"/>
              </w:rPr>
            </w:pPr>
            <w:r>
              <w:rPr>
                <w:rFonts w:hint="eastAsia" w:ascii="宋体" w:hAnsi="宋体" w:eastAsia="宋体" w:cs="宋体"/>
              </w:rPr>
              <w:t>≥</w:t>
            </w:r>
            <w:r>
              <w:t>4</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审计违纪投诉率</w:t>
            </w:r>
          </w:p>
        </w:tc>
        <w:tc>
          <w:tcPr>
            <w:tcW w:w="3430" w:type="dxa"/>
            <w:vAlign w:val="center"/>
          </w:tcPr>
          <w:p>
            <w:pPr>
              <w:pStyle w:val="15"/>
              <w:rPr>
                <w:rFonts w:cs="Times New Roman"/>
              </w:rPr>
            </w:pPr>
            <w:r>
              <w:rPr>
                <w:rFonts w:hint="eastAsia"/>
              </w:rPr>
              <w:t>在对审计人员依法审计、廉洁审计、文明审计方面投诉的审计项目数量占合部审计项目的比例</w:t>
            </w:r>
          </w:p>
        </w:tc>
        <w:tc>
          <w:tcPr>
            <w:tcW w:w="2551" w:type="dxa"/>
            <w:vAlign w:val="center"/>
          </w:tcPr>
          <w:p>
            <w:pPr>
              <w:pStyle w:val="15"/>
            </w:pPr>
            <w:r>
              <w:rPr>
                <w:rFonts w:hint="eastAsia" w:ascii="宋体" w:hAnsi="宋体" w:eastAsia="宋体" w:cs="宋体"/>
              </w:rPr>
              <w:t>≤</w:t>
            </w:r>
            <w:r>
              <w:t>5%</w:t>
            </w:r>
          </w:p>
        </w:tc>
      </w:tr>
    </w:tbl>
    <w:p>
      <w:pPr>
        <w:sectPr>
          <w:pgSz w:w="11900" w:h="16840"/>
          <w:pgMar w:top="1984" w:right="1304" w:bottom="1134" w:left="1304" w:header="720" w:footer="720" w:gutter="0"/>
          <w:pgNumType w:fmt="decimal"/>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5" w:name="_Toc_4_4_0000000009"/>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审计项目工作经费绩效目标表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审计项目工作经费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1360.00</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1360.00</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用于开展审计项目相关支出。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通过履行审计职责，开展各类审计项目，维护财政资金安全，提高财政资金效益，规范财务运行，有效揭示财经领域违法犯罪，推动相关部门和单位规范管理。</w:t>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审计项目数量</w:t>
            </w:r>
          </w:p>
        </w:tc>
        <w:tc>
          <w:tcPr>
            <w:tcW w:w="3430" w:type="dxa"/>
            <w:vAlign w:val="center"/>
          </w:tcPr>
          <w:p>
            <w:pPr>
              <w:pStyle w:val="15"/>
              <w:rPr>
                <w:rFonts w:cs="Times New Roman"/>
              </w:rPr>
            </w:pPr>
            <w:r>
              <w:rPr>
                <w:rFonts w:hint="eastAsia"/>
              </w:rPr>
              <w:t>反映全年完成审计项目的个数</w:t>
            </w:r>
          </w:p>
        </w:tc>
        <w:tc>
          <w:tcPr>
            <w:tcW w:w="2551" w:type="dxa"/>
            <w:vAlign w:val="center"/>
          </w:tcPr>
          <w:p>
            <w:pPr>
              <w:pStyle w:val="15"/>
              <w:rPr>
                <w:rFonts w:cs="Times New Roman"/>
              </w:rPr>
            </w:pPr>
            <w:r>
              <w:rPr>
                <w:rFonts w:hint="eastAsia" w:ascii="宋体" w:hAnsi="宋体" w:eastAsia="宋体" w:cs="宋体"/>
              </w:rPr>
              <w:t>≥</w:t>
            </w:r>
            <w:r>
              <w:t>70</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提出审计建议数量</w:t>
            </w:r>
          </w:p>
        </w:tc>
        <w:tc>
          <w:tcPr>
            <w:tcW w:w="3430" w:type="dxa"/>
            <w:vAlign w:val="center"/>
          </w:tcPr>
          <w:p>
            <w:pPr>
              <w:pStyle w:val="15"/>
              <w:rPr>
                <w:rFonts w:cs="Times New Roman"/>
              </w:rPr>
            </w:pPr>
            <w:r>
              <w:rPr>
                <w:rFonts w:hint="eastAsia"/>
              </w:rPr>
              <w:t>反映提出审计建议数量</w:t>
            </w:r>
          </w:p>
        </w:tc>
        <w:tc>
          <w:tcPr>
            <w:tcW w:w="2551" w:type="dxa"/>
            <w:vAlign w:val="center"/>
          </w:tcPr>
          <w:p>
            <w:pPr>
              <w:pStyle w:val="15"/>
              <w:rPr>
                <w:rFonts w:cs="Times New Roman"/>
              </w:rPr>
            </w:pPr>
            <w:r>
              <w:rPr>
                <w:rFonts w:hint="eastAsia" w:ascii="宋体" w:hAnsi="宋体" w:eastAsia="宋体" w:cs="宋体"/>
              </w:rPr>
              <w:t>≥</w:t>
            </w:r>
            <w:r>
              <w:t>180</w:t>
            </w:r>
            <w:r>
              <w:rPr>
                <w:rFonts w:hint="eastAsia"/>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审计程序合规合法性</w:t>
            </w:r>
          </w:p>
        </w:tc>
        <w:tc>
          <w:tcPr>
            <w:tcW w:w="3430" w:type="dxa"/>
            <w:vAlign w:val="center"/>
          </w:tcPr>
          <w:p>
            <w:pPr>
              <w:pStyle w:val="15"/>
              <w:rPr>
                <w:rFonts w:cs="Times New Roman"/>
              </w:rPr>
            </w:pPr>
            <w:r>
              <w:rPr>
                <w:rFonts w:hint="eastAsia"/>
              </w:rPr>
              <w:t>反映审计通知书送达、审计底稿取证、审计报告征求意见、审计档案归档等情况。</w:t>
            </w:r>
          </w:p>
        </w:tc>
        <w:tc>
          <w:tcPr>
            <w:tcW w:w="2551" w:type="dxa"/>
            <w:vAlign w:val="center"/>
          </w:tcPr>
          <w:p>
            <w:pPr>
              <w:pStyle w:val="15"/>
              <w:rPr>
                <w:rFonts w:cs="Times New Roman"/>
              </w:rPr>
            </w:pPr>
            <w:r>
              <w:rPr>
                <w:rFonts w:hint="eastAsia"/>
              </w:rPr>
              <w:t>审计程序合规合法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审计计划完成率</w:t>
            </w:r>
          </w:p>
        </w:tc>
        <w:tc>
          <w:tcPr>
            <w:tcW w:w="3430" w:type="dxa"/>
            <w:vAlign w:val="center"/>
          </w:tcPr>
          <w:p>
            <w:pPr>
              <w:pStyle w:val="15"/>
              <w:rPr>
                <w:rFonts w:cs="Times New Roman"/>
              </w:rPr>
            </w:pPr>
            <w:r>
              <w:rPr>
                <w:rFonts w:hint="eastAsia"/>
              </w:rPr>
              <w:t>已审计项目占审计计划项目的比例</w:t>
            </w:r>
          </w:p>
        </w:tc>
        <w:tc>
          <w:tcPr>
            <w:tcW w:w="2551" w:type="dxa"/>
            <w:vAlign w:val="center"/>
          </w:tcPr>
          <w:p>
            <w:pPr>
              <w:pStyle w:val="15"/>
            </w:pPr>
            <w:r>
              <w:rPr>
                <w:rFonts w:hint="eastAsia" w:ascii="宋体" w:hAnsi="宋体" w:eastAsia="宋体" w:cs="宋体"/>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rPr>
                <w:rFonts w:hint="eastAsia"/>
              </w:rPr>
              <w:t>未按时完成审计项目的数量</w:t>
            </w:r>
          </w:p>
        </w:tc>
        <w:tc>
          <w:tcPr>
            <w:tcW w:w="3430" w:type="dxa"/>
            <w:vAlign w:val="center"/>
          </w:tcPr>
          <w:p>
            <w:pPr>
              <w:pStyle w:val="15"/>
              <w:rPr>
                <w:rFonts w:cs="Times New Roman"/>
              </w:rPr>
            </w:pPr>
            <w:r>
              <w:rPr>
                <w:rFonts w:hint="eastAsia"/>
              </w:rPr>
              <w:t>反映未按时完成的审计项目个数</w:t>
            </w:r>
          </w:p>
        </w:tc>
        <w:tc>
          <w:tcPr>
            <w:tcW w:w="2551" w:type="dxa"/>
            <w:vAlign w:val="center"/>
          </w:tcPr>
          <w:p>
            <w:pPr>
              <w:pStyle w:val="15"/>
              <w:rPr>
                <w:rFonts w:cs="Times New Roman"/>
              </w:rPr>
            </w:pPr>
            <w:r>
              <w:rPr>
                <w:rFonts w:hint="eastAsia" w:ascii="宋体" w:hAnsi="宋体" w:eastAsia="宋体" w:cs="宋体"/>
              </w:rPr>
              <w:t>≤</w:t>
            </w:r>
            <w:r>
              <w:t>7</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委托第三方审计服务费用</w:t>
            </w:r>
          </w:p>
        </w:tc>
        <w:tc>
          <w:tcPr>
            <w:tcW w:w="3430" w:type="dxa"/>
            <w:vAlign w:val="center"/>
          </w:tcPr>
          <w:p>
            <w:pPr>
              <w:pStyle w:val="15"/>
              <w:rPr>
                <w:rFonts w:cs="Times New Roman"/>
              </w:rPr>
            </w:pPr>
            <w:r>
              <w:rPr>
                <w:rFonts w:hint="eastAsia"/>
              </w:rPr>
              <w:t>委托第三方审计服务费用</w:t>
            </w:r>
          </w:p>
        </w:tc>
        <w:tc>
          <w:tcPr>
            <w:tcW w:w="2551" w:type="dxa"/>
            <w:vAlign w:val="center"/>
          </w:tcPr>
          <w:p>
            <w:pPr>
              <w:pStyle w:val="15"/>
              <w:rPr>
                <w:rFonts w:cs="Times New Roman"/>
              </w:rPr>
            </w:pPr>
            <w:r>
              <w:rPr>
                <w:rFonts w:hint="eastAsia" w:ascii="宋体" w:hAnsi="宋体" w:eastAsia="宋体" w:cs="宋体"/>
              </w:rPr>
              <w:t>≤</w:t>
            </w:r>
            <w:r>
              <w:t>550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审计外勤经费支出</w:t>
            </w:r>
          </w:p>
        </w:tc>
        <w:tc>
          <w:tcPr>
            <w:tcW w:w="3430" w:type="dxa"/>
            <w:vAlign w:val="center"/>
          </w:tcPr>
          <w:p>
            <w:pPr>
              <w:pStyle w:val="15"/>
              <w:rPr>
                <w:rFonts w:cs="Times New Roman"/>
              </w:rPr>
            </w:pPr>
            <w:r>
              <w:rPr>
                <w:rFonts w:hint="eastAsia"/>
              </w:rPr>
              <w:t>审计外勤经费支出规模</w:t>
            </w:r>
          </w:p>
        </w:tc>
        <w:tc>
          <w:tcPr>
            <w:tcW w:w="2551" w:type="dxa"/>
            <w:vAlign w:val="center"/>
          </w:tcPr>
          <w:p>
            <w:pPr>
              <w:pStyle w:val="15"/>
              <w:rPr>
                <w:rFonts w:cs="Times New Roman"/>
              </w:rPr>
            </w:pPr>
            <w:r>
              <w:rPr>
                <w:rFonts w:hint="eastAsia" w:ascii="宋体" w:hAnsi="宋体" w:eastAsia="宋体" w:cs="宋体"/>
              </w:rPr>
              <w:t>≤</w:t>
            </w:r>
            <w:r>
              <w:t>810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经济效益指标</w:t>
            </w:r>
          </w:p>
        </w:tc>
        <w:tc>
          <w:tcPr>
            <w:tcW w:w="1332" w:type="dxa"/>
            <w:vAlign w:val="center"/>
          </w:tcPr>
          <w:p>
            <w:pPr>
              <w:pStyle w:val="15"/>
              <w:rPr>
                <w:rFonts w:cs="Times New Roman"/>
              </w:rPr>
            </w:pPr>
            <w:r>
              <w:rPr>
                <w:rFonts w:hint="eastAsia"/>
              </w:rPr>
              <w:t>促进增收、挽回损失金额</w:t>
            </w:r>
          </w:p>
        </w:tc>
        <w:tc>
          <w:tcPr>
            <w:tcW w:w="3430" w:type="dxa"/>
            <w:vAlign w:val="center"/>
          </w:tcPr>
          <w:p>
            <w:pPr>
              <w:pStyle w:val="15"/>
              <w:rPr>
                <w:rFonts w:cs="Times New Roman"/>
              </w:rPr>
            </w:pPr>
            <w:r>
              <w:rPr>
                <w:rFonts w:hint="eastAsia"/>
              </w:rPr>
              <w:t>反映通过审计，促进增收、挽回损失金额</w:t>
            </w:r>
          </w:p>
        </w:tc>
        <w:tc>
          <w:tcPr>
            <w:tcW w:w="2551" w:type="dxa"/>
            <w:vAlign w:val="center"/>
          </w:tcPr>
          <w:p>
            <w:pPr>
              <w:pStyle w:val="15"/>
              <w:rPr>
                <w:rFonts w:cs="Times New Roman"/>
              </w:rPr>
            </w:pPr>
            <w:r>
              <w:rPr>
                <w:rFonts w:hint="eastAsia" w:ascii="宋体" w:hAnsi="宋体" w:eastAsia="宋体" w:cs="宋体"/>
              </w:rPr>
              <w:t>≥</w:t>
            </w:r>
            <w:r>
              <w:t>5000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被审计单位调账处理</w:t>
            </w:r>
          </w:p>
        </w:tc>
        <w:tc>
          <w:tcPr>
            <w:tcW w:w="3430" w:type="dxa"/>
            <w:vAlign w:val="center"/>
          </w:tcPr>
          <w:p>
            <w:pPr>
              <w:pStyle w:val="15"/>
              <w:rPr>
                <w:rFonts w:cs="Times New Roman"/>
              </w:rPr>
            </w:pPr>
            <w:r>
              <w:rPr>
                <w:rFonts w:hint="eastAsia"/>
              </w:rPr>
              <w:t>被审计单位调账处理</w:t>
            </w:r>
          </w:p>
        </w:tc>
        <w:tc>
          <w:tcPr>
            <w:tcW w:w="2551" w:type="dxa"/>
            <w:vAlign w:val="center"/>
          </w:tcPr>
          <w:p>
            <w:pPr>
              <w:pStyle w:val="15"/>
              <w:rPr>
                <w:rFonts w:cs="Times New Roman"/>
              </w:rPr>
            </w:pPr>
            <w:r>
              <w:rPr>
                <w:rFonts w:hint="eastAsia" w:ascii="宋体" w:hAnsi="宋体" w:eastAsia="宋体" w:cs="宋体"/>
              </w:rPr>
              <w:t>≥</w:t>
            </w:r>
            <w:r>
              <w:t>80</w:t>
            </w:r>
            <w:r>
              <w:rPr>
                <w:rFonts w:hint="eastAsia"/>
              </w:rPr>
              <w:t>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根据审计建议建立健全规章制度数量</w:t>
            </w:r>
          </w:p>
        </w:tc>
        <w:tc>
          <w:tcPr>
            <w:tcW w:w="3430" w:type="dxa"/>
            <w:vAlign w:val="center"/>
          </w:tcPr>
          <w:p>
            <w:pPr>
              <w:pStyle w:val="15"/>
              <w:rPr>
                <w:rFonts w:cs="Times New Roman"/>
              </w:rPr>
            </w:pPr>
            <w:r>
              <w:rPr>
                <w:rFonts w:hint="eastAsia"/>
              </w:rPr>
              <w:t>反映被审计单位根据审计建议建立健全规章制度的数量</w:t>
            </w:r>
          </w:p>
        </w:tc>
        <w:tc>
          <w:tcPr>
            <w:tcW w:w="2551" w:type="dxa"/>
            <w:vAlign w:val="center"/>
          </w:tcPr>
          <w:p>
            <w:pPr>
              <w:pStyle w:val="15"/>
              <w:rPr>
                <w:rFonts w:cs="Times New Roman"/>
              </w:rPr>
            </w:pPr>
            <w:r>
              <w:rPr>
                <w:rFonts w:hint="eastAsia" w:ascii="宋体" w:hAnsi="宋体" w:eastAsia="宋体" w:cs="宋体"/>
              </w:rPr>
              <w:t>≥</w:t>
            </w:r>
            <w:r>
              <w:t>50</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可持续影响指标</w:t>
            </w:r>
          </w:p>
        </w:tc>
        <w:tc>
          <w:tcPr>
            <w:tcW w:w="1332" w:type="dxa"/>
            <w:vAlign w:val="center"/>
          </w:tcPr>
          <w:p>
            <w:pPr>
              <w:pStyle w:val="15"/>
              <w:rPr>
                <w:rFonts w:cs="Times New Roman"/>
              </w:rPr>
            </w:pPr>
            <w:r>
              <w:rPr>
                <w:rFonts w:hint="eastAsia"/>
              </w:rPr>
              <w:t>移送重大案件线索和事项的数量</w:t>
            </w:r>
          </w:p>
        </w:tc>
        <w:tc>
          <w:tcPr>
            <w:tcW w:w="3430" w:type="dxa"/>
            <w:vAlign w:val="center"/>
          </w:tcPr>
          <w:p>
            <w:pPr>
              <w:pStyle w:val="15"/>
              <w:rPr>
                <w:rFonts w:cs="Times New Roman"/>
              </w:rPr>
            </w:pPr>
            <w:r>
              <w:rPr>
                <w:rFonts w:hint="eastAsia"/>
              </w:rPr>
              <w:t>反映审计移送情况</w:t>
            </w:r>
          </w:p>
        </w:tc>
        <w:tc>
          <w:tcPr>
            <w:tcW w:w="2551" w:type="dxa"/>
            <w:vAlign w:val="center"/>
          </w:tcPr>
          <w:p>
            <w:pPr>
              <w:pStyle w:val="15"/>
              <w:rPr>
                <w:rFonts w:cs="Times New Roman"/>
              </w:rPr>
            </w:pPr>
            <w:r>
              <w:rPr>
                <w:rFonts w:hint="eastAsia" w:ascii="宋体" w:hAnsi="宋体" w:eastAsia="宋体" w:cs="宋体"/>
              </w:rPr>
              <w:t>≥</w:t>
            </w:r>
            <w:r>
              <w:t>60</w:t>
            </w:r>
            <w:r>
              <w:rPr>
                <w:rFonts w:hint="eastAsia"/>
              </w:rP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审计违纪投诉率</w:t>
            </w:r>
          </w:p>
        </w:tc>
        <w:tc>
          <w:tcPr>
            <w:tcW w:w="3430" w:type="dxa"/>
            <w:vAlign w:val="center"/>
          </w:tcPr>
          <w:p>
            <w:pPr>
              <w:pStyle w:val="15"/>
              <w:rPr>
                <w:rFonts w:cs="Times New Roman"/>
              </w:rPr>
            </w:pPr>
            <w:r>
              <w:rPr>
                <w:rFonts w:hint="eastAsia"/>
              </w:rPr>
              <w:t>在对审计人员依法审计、廉洁审计、文明审计方面投诉的审计项目数量占合部审计项目的比例</w:t>
            </w:r>
          </w:p>
        </w:tc>
        <w:tc>
          <w:tcPr>
            <w:tcW w:w="2551" w:type="dxa"/>
            <w:vAlign w:val="center"/>
          </w:tcPr>
          <w:p>
            <w:pPr>
              <w:pStyle w:val="15"/>
            </w:pPr>
            <w:r>
              <w:rPr>
                <w:rFonts w:hint="eastAsia" w:ascii="宋体" w:hAnsi="宋体" w:eastAsia="宋体" w:cs="宋体"/>
              </w:rPr>
              <w:t>≤</w:t>
            </w:r>
            <w:r>
              <w:t>5%</w:t>
            </w:r>
          </w:p>
        </w:tc>
      </w:tr>
    </w:tbl>
    <w:p>
      <w:pPr>
        <w:sectPr>
          <w:pgSz w:w="11900" w:h="16840"/>
          <w:pgMar w:top="1984" w:right="1304" w:bottom="1134" w:left="1304" w:header="720" w:footer="720" w:gutter="0"/>
          <w:pgNumType w:fmt="decimal"/>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6" w:name="_Toc_4_4_0000000010"/>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t>审计业务培训费绩效目标表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审计业务培训费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25.00</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25.00</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用于开展审计业务专项培训经费。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通过开展审计相关培训，帮助干部弥补专业知识弱项、能力短板、经验盲区，丰富履职所需的专业知识，全面提高审计干部专业素养和履职能力，为确保审计工作高质量完成和天津审计事业健康发展提供人才和智力支持。</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培训班次</w:t>
            </w:r>
          </w:p>
        </w:tc>
        <w:tc>
          <w:tcPr>
            <w:tcW w:w="3430" w:type="dxa"/>
            <w:vAlign w:val="center"/>
          </w:tcPr>
          <w:p>
            <w:pPr>
              <w:pStyle w:val="15"/>
              <w:rPr>
                <w:rFonts w:cs="Times New Roman"/>
              </w:rPr>
            </w:pPr>
            <w:r>
              <w:rPr>
                <w:rFonts w:hint="eastAsia"/>
              </w:rPr>
              <w:t>培训班次</w:t>
            </w:r>
          </w:p>
        </w:tc>
        <w:tc>
          <w:tcPr>
            <w:tcW w:w="2551" w:type="dxa"/>
            <w:vAlign w:val="center"/>
          </w:tcPr>
          <w:p>
            <w:pPr>
              <w:pStyle w:val="15"/>
              <w:rPr>
                <w:rFonts w:cs="Times New Roman"/>
              </w:rPr>
            </w:pPr>
            <w:r>
              <w:rPr>
                <w:rFonts w:hint="eastAsia" w:ascii="宋体" w:hAnsi="宋体" w:eastAsia="宋体" w:cs="宋体"/>
              </w:rPr>
              <w:t>≥</w:t>
            </w:r>
            <w:r>
              <w:t>20</w:t>
            </w:r>
            <w:r>
              <w:rPr>
                <w:rFonts w:hint="eastAsia"/>
              </w:rPr>
              <w:t>班次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培训讲师职级达到高级职称的人数</w:t>
            </w:r>
          </w:p>
        </w:tc>
        <w:tc>
          <w:tcPr>
            <w:tcW w:w="3430" w:type="dxa"/>
            <w:vAlign w:val="center"/>
          </w:tcPr>
          <w:p>
            <w:pPr>
              <w:pStyle w:val="15"/>
              <w:rPr>
                <w:rFonts w:cs="Times New Roman"/>
              </w:rPr>
            </w:pPr>
            <w:r>
              <w:rPr>
                <w:rFonts w:hint="eastAsia"/>
              </w:rPr>
              <w:t>培训讲师职级达到高级职称的人数</w:t>
            </w:r>
          </w:p>
        </w:tc>
        <w:tc>
          <w:tcPr>
            <w:tcW w:w="2551" w:type="dxa"/>
            <w:vAlign w:val="center"/>
          </w:tcPr>
          <w:p>
            <w:pPr>
              <w:pStyle w:val="15"/>
              <w:rPr>
                <w:rFonts w:cs="Times New Roman"/>
              </w:rPr>
            </w:pPr>
            <w:r>
              <w:rPr>
                <w:rFonts w:hint="eastAsia" w:ascii="宋体" w:hAnsi="宋体" w:eastAsia="宋体" w:cs="宋体"/>
              </w:rPr>
              <w:t>≥</w:t>
            </w:r>
            <w:r>
              <w:t>2</w:t>
            </w:r>
            <w:r>
              <w:rPr>
                <w:rFonts w:hint="eastAsia"/>
              </w:rPr>
              <w:t>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t>12</w:t>
            </w:r>
            <w:r>
              <w:rPr>
                <w:rFonts w:hint="eastAsia"/>
              </w:rPr>
              <w:t>月</w:t>
            </w:r>
            <w:r>
              <w:t>31</w:t>
            </w:r>
            <w:r>
              <w:rPr>
                <w:rFonts w:hint="eastAsia"/>
              </w:rPr>
              <w:t>日资金支出进度</w:t>
            </w:r>
          </w:p>
        </w:tc>
        <w:tc>
          <w:tcPr>
            <w:tcW w:w="3430" w:type="dxa"/>
            <w:vAlign w:val="center"/>
          </w:tcPr>
          <w:p>
            <w:pPr>
              <w:pStyle w:val="15"/>
              <w:rPr>
                <w:rFonts w:cs="Times New Roman"/>
              </w:rPr>
            </w:pPr>
            <w:r>
              <w:t>12</w:t>
            </w:r>
            <w:r>
              <w:rPr>
                <w:rFonts w:hint="eastAsia"/>
              </w:rPr>
              <w:t>月</w:t>
            </w:r>
            <w:r>
              <w:t>31</w:t>
            </w:r>
            <w:r>
              <w:rPr>
                <w:rFonts w:hint="eastAsia"/>
              </w:rPr>
              <w:t>日资金支出进度</w:t>
            </w:r>
          </w:p>
        </w:tc>
        <w:tc>
          <w:tcPr>
            <w:tcW w:w="2551" w:type="dxa"/>
            <w:vAlign w:val="center"/>
          </w:tcPr>
          <w:p>
            <w:pPr>
              <w:pStyle w:val="15"/>
            </w:pPr>
            <w:r>
              <w:rPr>
                <w:rFonts w:hint="eastAsia" w:ascii="宋体" w:hAnsi="宋体" w:eastAsia="宋体" w:cs="宋体"/>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培训成本</w:t>
            </w:r>
          </w:p>
        </w:tc>
        <w:tc>
          <w:tcPr>
            <w:tcW w:w="3430" w:type="dxa"/>
            <w:vAlign w:val="center"/>
          </w:tcPr>
          <w:p>
            <w:pPr>
              <w:pStyle w:val="15"/>
              <w:rPr>
                <w:rFonts w:cs="Times New Roman"/>
              </w:rPr>
            </w:pPr>
            <w:r>
              <w:rPr>
                <w:rFonts w:hint="eastAsia"/>
              </w:rPr>
              <w:t>培训成本</w:t>
            </w:r>
          </w:p>
        </w:tc>
        <w:tc>
          <w:tcPr>
            <w:tcW w:w="2551" w:type="dxa"/>
            <w:vAlign w:val="center"/>
          </w:tcPr>
          <w:p>
            <w:pPr>
              <w:pStyle w:val="15"/>
              <w:rPr>
                <w:rFonts w:cs="Times New Roman"/>
              </w:rPr>
            </w:pPr>
            <w:r>
              <w:rPr>
                <w:rFonts w:hint="eastAsia" w:ascii="宋体" w:hAnsi="宋体" w:eastAsia="宋体" w:cs="宋体"/>
              </w:rPr>
              <w:t>≤</w:t>
            </w:r>
            <w:r>
              <w:t>25</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提高审计人员业务水平</w:t>
            </w:r>
          </w:p>
        </w:tc>
        <w:tc>
          <w:tcPr>
            <w:tcW w:w="3430" w:type="dxa"/>
            <w:vAlign w:val="center"/>
          </w:tcPr>
          <w:p>
            <w:pPr>
              <w:pStyle w:val="15"/>
              <w:rPr>
                <w:rFonts w:cs="Times New Roman"/>
              </w:rPr>
            </w:pPr>
            <w:r>
              <w:rPr>
                <w:rFonts w:hint="eastAsia"/>
              </w:rPr>
              <w:t>提高审计人员业务水平</w:t>
            </w:r>
          </w:p>
        </w:tc>
        <w:tc>
          <w:tcPr>
            <w:tcW w:w="2551" w:type="dxa"/>
            <w:vAlign w:val="center"/>
          </w:tcPr>
          <w:p>
            <w:pPr>
              <w:pStyle w:val="15"/>
              <w:rPr>
                <w:rFonts w:cs="Times New Roman"/>
              </w:rPr>
            </w:pPr>
            <w:r>
              <w:rPr>
                <w:rFonts w:hint="eastAsia"/>
              </w:rPr>
              <w:t>优良中低差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审计干部满意度</w:t>
            </w:r>
          </w:p>
        </w:tc>
        <w:tc>
          <w:tcPr>
            <w:tcW w:w="3430" w:type="dxa"/>
            <w:vAlign w:val="center"/>
          </w:tcPr>
          <w:p>
            <w:pPr>
              <w:pStyle w:val="15"/>
              <w:rPr>
                <w:rFonts w:cs="Times New Roman"/>
              </w:rPr>
            </w:pPr>
            <w:r>
              <w:rPr>
                <w:rFonts w:hint="eastAsia"/>
              </w:rPr>
              <w:t>审计干部满意度</w:t>
            </w:r>
          </w:p>
        </w:tc>
        <w:tc>
          <w:tcPr>
            <w:tcW w:w="2551" w:type="dxa"/>
            <w:vAlign w:val="center"/>
          </w:tcPr>
          <w:p>
            <w:pPr>
              <w:pStyle w:val="15"/>
            </w:pPr>
            <w:r>
              <w:rPr>
                <w:rFonts w:hint="eastAsia" w:ascii="宋体" w:hAnsi="宋体" w:eastAsia="宋体" w:cs="宋体"/>
              </w:rPr>
              <w:t>≥</w:t>
            </w:r>
            <w:r>
              <w:t>95%</w:t>
            </w:r>
          </w:p>
        </w:tc>
      </w:tr>
    </w:tbl>
    <w:p>
      <w:pPr>
        <w:sectPr>
          <w:pgSz w:w="11900" w:h="16840"/>
          <w:pgMar w:top="1984" w:right="1304" w:bottom="1134" w:left="1304" w:header="720" w:footer="720" w:gutter="0"/>
          <w:pgNumType w:fmt="decimal"/>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7" w:name="_Toc_4_4_0000000011"/>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审计科研项目经费绩效目标表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rFonts w:cs="Times New Roman"/>
              </w:rPr>
            </w:pPr>
            <w:r>
              <w:t>348201</w:t>
            </w:r>
            <w:r>
              <w:rPr>
                <w:rFonts w:hint="eastAsia"/>
              </w:rPr>
              <w:t>天津市审计科研所</w:t>
            </w:r>
          </w:p>
        </w:tc>
        <w:tc>
          <w:tcPr>
            <w:tcW w:w="1276" w:type="dxa"/>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cs="Times New Roman"/>
              </w:rPr>
            </w:pPr>
            <w:r>
              <w:rPr>
                <w:rFonts w:hint="eastAsia"/>
              </w:rPr>
              <w:t>项目名称</w:t>
            </w:r>
          </w:p>
        </w:tc>
        <w:tc>
          <w:tcPr>
            <w:tcW w:w="8589" w:type="dxa"/>
            <w:gridSpan w:val="6"/>
            <w:vAlign w:val="center"/>
          </w:tcPr>
          <w:p>
            <w:pPr>
              <w:pStyle w:val="15"/>
              <w:rPr>
                <w:rFonts w:cs="Times New Roman"/>
              </w:rPr>
            </w:pPr>
            <w:r>
              <w:rPr>
                <w:rFonts w:hint="eastAsia"/>
              </w:rPr>
              <w:t>审计科研项目经费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cs="Times New Roman"/>
              </w:rPr>
            </w:pPr>
            <w:r>
              <w:rPr>
                <w:rFonts w:hint="eastAsia"/>
              </w:rPr>
              <w:t>预算规模及资金用途</w:t>
            </w:r>
          </w:p>
        </w:tc>
        <w:tc>
          <w:tcPr>
            <w:tcW w:w="1276" w:type="dxa"/>
            <w:vAlign w:val="center"/>
          </w:tcPr>
          <w:p>
            <w:pPr>
              <w:pStyle w:val="16"/>
              <w:rPr>
                <w:rFonts w:cs="Times New Roman"/>
              </w:rPr>
            </w:pPr>
            <w:r>
              <w:rPr>
                <w:rFonts w:hint="eastAsia"/>
              </w:rPr>
              <w:t>预算数</w:t>
            </w:r>
          </w:p>
        </w:tc>
        <w:tc>
          <w:tcPr>
            <w:tcW w:w="1332" w:type="dxa"/>
            <w:vAlign w:val="center"/>
          </w:tcPr>
          <w:p>
            <w:pPr>
              <w:pStyle w:val="15"/>
            </w:pPr>
            <w:r>
              <w:t>9.00</w:t>
            </w:r>
          </w:p>
        </w:tc>
        <w:tc>
          <w:tcPr>
            <w:tcW w:w="1587" w:type="dxa"/>
            <w:vAlign w:val="center"/>
          </w:tcPr>
          <w:p>
            <w:pPr>
              <w:pStyle w:val="16"/>
              <w:rPr>
                <w:rFonts w:cs="Times New Roman"/>
              </w:rPr>
            </w:pPr>
            <w:r>
              <w:rPr>
                <w:rFonts w:hint="eastAsia"/>
              </w:rPr>
              <w:t>其中：财政</w:t>
            </w:r>
            <w:r>
              <w:t xml:space="preserve">    </w:t>
            </w:r>
            <w:r>
              <w:rPr>
                <w:rFonts w:hint="eastAsia"/>
              </w:rPr>
              <w:t>资金</w:t>
            </w:r>
          </w:p>
        </w:tc>
        <w:tc>
          <w:tcPr>
            <w:tcW w:w="1843" w:type="dxa"/>
            <w:vAlign w:val="center"/>
          </w:tcPr>
          <w:p>
            <w:pPr>
              <w:pStyle w:val="15"/>
            </w:pPr>
            <w:r>
              <w:t>9.00</w:t>
            </w:r>
          </w:p>
        </w:tc>
        <w:tc>
          <w:tcPr>
            <w:tcW w:w="1276" w:type="dxa"/>
            <w:vAlign w:val="center"/>
          </w:tcPr>
          <w:p>
            <w:pPr>
              <w:pStyle w:val="16"/>
              <w:rPr>
                <w:rFonts w:cs="Times New Roman"/>
              </w:rPr>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rPr>
                <w:rFonts w:cs="Times New Roman"/>
              </w:rPr>
            </w:pPr>
            <w:r>
              <w:rPr>
                <w:rFonts w:hint="eastAsia"/>
              </w:rPr>
              <w:t>用于局级课题研究及相关评审活动。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cs="Times New Roman"/>
              </w:rPr>
            </w:pPr>
            <w:r>
              <w:rPr>
                <w:rFonts w:hint="eastAsia"/>
              </w:rPr>
              <w:t>绩效目标</w:t>
            </w:r>
          </w:p>
        </w:tc>
        <w:tc>
          <w:tcPr>
            <w:tcW w:w="8589" w:type="dxa"/>
            <w:gridSpan w:val="6"/>
            <w:tcBorders>
              <w:bottom w:val="single" w:color="FFFFFF" w:sz="6" w:space="0"/>
            </w:tcBorders>
            <w:vAlign w:val="center"/>
          </w:tcPr>
          <w:p>
            <w:pPr>
              <w:pStyle w:val="15"/>
              <w:rPr>
                <w:rFonts w:cs="Times New Roman"/>
              </w:rPr>
            </w:pPr>
            <w:r>
              <w:t>1.</w:t>
            </w:r>
            <w:r>
              <w:rPr>
                <w:rFonts w:hint="eastAsia"/>
              </w:rPr>
              <w:t>通过开展审计科研活动，提升审计干部理论水平和研究能力。</w:t>
            </w:r>
          </w:p>
        </w:tc>
      </w:tr>
    </w:tbl>
    <w:p>
      <w:pPr>
        <w:spacing w:line="2" w:lineRule="exact"/>
        <w:jc w:val="center"/>
      </w:pPr>
      <w:r>
        <w:rPr>
          <w:rFonts w:ascii="方正书宋_GBK" w:hAnsi="方正书宋_GBK" w:eastAsia="方正书宋_GBK" w:cs="方正书宋_GBK"/>
          <w:sz w:val="21"/>
          <w:szCs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cs="Times New Roman"/>
              </w:rPr>
            </w:pPr>
            <w:r>
              <w:rPr>
                <w:rFonts w:hint="eastAsia"/>
              </w:rPr>
              <w:t>一级指标</w:t>
            </w:r>
          </w:p>
        </w:tc>
        <w:tc>
          <w:tcPr>
            <w:tcW w:w="1276" w:type="dxa"/>
            <w:vAlign w:val="center"/>
          </w:tcPr>
          <w:p>
            <w:pPr>
              <w:pStyle w:val="16"/>
              <w:rPr>
                <w:rFonts w:cs="Times New Roman"/>
              </w:rPr>
            </w:pPr>
            <w:r>
              <w:rPr>
                <w:rFonts w:hint="eastAsia"/>
              </w:rPr>
              <w:t>二级指标</w:t>
            </w:r>
          </w:p>
        </w:tc>
        <w:tc>
          <w:tcPr>
            <w:tcW w:w="1332" w:type="dxa"/>
            <w:vAlign w:val="center"/>
          </w:tcPr>
          <w:p>
            <w:pPr>
              <w:pStyle w:val="16"/>
              <w:rPr>
                <w:rFonts w:cs="Times New Roman"/>
              </w:rPr>
            </w:pPr>
            <w:r>
              <w:rPr>
                <w:rFonts w:hint="eastAsia"/>
              </w:rPr>
              <w:t>三级指标</w:t>
            </w:r>
          </w:p>
        </w:tc>
        <w:tc>
          <w:tcPr>
            <w:tcW w:w="3430" w:type="dxa"/>
            <w:vAlign w:val="center"/>
          </w:tcPr>
          <w:p>
            <w:pPr>
              <w:pStyle w:val="16"/>
              <w:rPr>
                <w:rFonts w:cs="Times New Roman"/>
              </w:rPr>
            </w:pPr>
            <w:r>
              <w:rPr>
                <w:rFonts w:hint="eastAsia"/>
              </w:rPr>
              <w:t>绩效指标描述</w:t>
            </w:r>
          </w:p>
        </w:tc>
        <w:tc>
          <w:tcPr>
            <w:tcW w:w="2551" w:type="dxa"/>
            <w:vAlign w:val="center"/>
          </w:tcPr>
          <w:p>
            <w:pPr>
              <w:pStyle w:val="16"/>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cs="Times New Roman"/>
              </w:rPr>
            </w:pPr>
            <w:r>
              <w:rPr>
                <w:rFonts w:hint="eastAsia"/>
              </w:rPr>
              <w:t>产出指标</w:t>
            </w:r>
          </w:p>
        </w:tc>
        <w:tc>
          <w:tcPr>
            <w:tcW w:w="1276" w:type="dxa"/>
            <w:vAlign w:val="center"/>
          </w:tcPr>
          <w:p>
            <w:pPr>
              <w:pStyle w:val="15"/>
              <w:rPr>
                <w:rFonts w:cs="Times New Roman"/>
              </w:rPr>
            </w:pPr>
            <w:r>
              <w:rPr>
                <w:rFonts w:hint="eastAsia"/>
              </w:rPr>
              <w:t>成本指标</w:t>
            </w:r>
          </w:p>
        </w:tc>
        <w:tc>
          <w:tcPr>
            <w:tcW w:w="1332" w:type="dxa"/>
            <w:vAlign w:val="center"/>
          </w:tcPr>
          <w:p>
            <w:pPr>
              <w:pStyle w:val="15"/>
              <w:rPr>
                <w:rFonts w:cs="Times New Roman"/>
              </w:rPr>
            </w:pPr>
            <w:r>
              <w:rPr>
                <w:rFonts w:hint="eastAsia"/>
              </w:rPr>
              <w:t>审计科研活动经费</w:t>
            </w:r>
          </w:p>
        </w:tc>
        <w:tc>
          <w:tcPr>
            <w:tcW w:w="3430" w:type="dxa"/>
            <w:vAlign w:val="center"/>
          </w:tcPr>
          <w:p>
            <w:pPr>
              <w:pStyle w:val="15"/>
              <w:rPr>
                <w:rFonts w:cs="Times New Roman"/>
              </w:rPr>
            </w:pPr>
            <w:r>
              <w:rPr>
                <w:rFonts w:hint="eastAsia"/>
              </w:rPr>
              <w:t>经费支出</w:t>
            </w:r>
          </w:p>
        </w:tc>
        <w:tc>
          <w:tcPr>
            <w:tcW w:w="2551" w:type="dxa"/>
            <w:vAlign w:val="center"/>
          </w:tcPr>
          <w:p>
            <w:pPr>
              <w:pStyle w:val="15"/>
              <w:rPr>
                <w:rFonts w:cs="Times New Roman"/>
              </w:rPr>
            </w:pPr>
            <w:r>
              <w:rPr>
                <w:rFonts w:hint="eastAsia" w:ascii="宋体" w:hAnsi="宋体" w:eastAsia="宋体" w:cs="宋体"/>
              </w:rPr>
              <w:t>≤</w:t>
            </w:r>
            <w:r>
              <w:t>9</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时效指标</w:t>
            </w:r>
          </w:p>
        </w:tc>
        <w:tc>
          <w:tcPr>
            <w:tcW w:w="1332" w:type="dxa"/>
            <w:vAlign w:val="center"/>
          </w:tcPr>
          <w:p>
            <w:pPr>
              <w:pStyle w:val="15"/>
              <w:rPr>
                <w:rFonts w:cs="Times New Roman"/>
              </w:rPr>
            </w:pPr>
            <w:r>
              <w:rPr>
                <w:rFonts w:hint="eastAsia"/>
              </w:rPr>
              <w:t>课题中期检查时间</w:t>
            </w:r>
          </w:p>
        </w:tc>
        <w:tc>
          <w:tcPr>
            <w:tcW w:w="3430" w:type="dxa"/>
            <w:vAlign w:val="center"/>
          </w:tcPr>
          <w:p>
            <w:pPr>
              <w:pStyle w:val="15"/>
              <w:rPr>
                <w:rFonts w:cs="Times New Roman"/>
              </w:rPr>
            </w:pPr>
            <w:r>
              <w:rPr>
                <w:rFonts w:hint="eastAsia"/>
              </w:rPr>
              <w:t>活动时间进度情况</w:t>
            </w:r>
          </w:p>
        </w:tc>
        <w:tc>
          <w:tcPr>
            <w:tcW w:w="2551" w:type="dxa"/>
            <w:vAlign w:val="center"/>
          </w:tcPr>
          <w:p>
            <w:pPr>
              <w:pStyle w:val="15"/>
              <w:rPr>
                <w:rFonts w:cs="Times New Roman"/>
              </w:rPr>
            </w:pPr>
            <w:r>
              <w:t>12</w:t>
            </w:r>
            <w:r>
              <w:rPr>
                <w:rFonts w:hint="eastAsia"/>
              </w:rPr>
              <w:t>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数量指标</w:t>
            </w:r>
          </w:p>
        </w:tc>
        <w:tc>
          <w:tcPr>
            <w:tcW w:w="1332" w:type="dxa"/>
            <w:vAlign w:val="center"/>
          </w:tcPr>
          <w:p>
            <w:pPr>
              <w:pStyle w:val="15"/>
              <w:rPr>
                <w:rFonts w:cs="Times New Roman"/>
              </w:rPr>
            </w:pPr>
            <w:r>
              <w:rPr>
                <w:rFonts w:hint="eastAsia"/>
              </w:rPr>
              <w:t>结项课题数量</w:t>
            </w:r>
          </w:p>
        </w:tc>
        <w:tc>
          <w:tcPr>
            <w:tcW w:w="3430" w:type="dxa"/>
            <w:vAlign w:val="center"/>
          </w:tcPr>
          <w:p>
            <w:pPr>
              <w:pStyle w:val="15"/>
              <w:rPr>
                <w:rFonts w:cs="Times New Roman"/>
              </w:rPr>
            </w:pPr>
            <w:r>
              <w:rPr>
                <w:rFonts w:hint="eastAsia"/>
              </w:rPr>
              <w:t>成功结项情况</w:t>
            </w:r>
          </w:p>
        </w:tc>
        <w:tc>
          <w:tcPr>
            <w:tcW w:w="2551" w:type="dxa"/>
            <w:vAlign w:val="center"/>
          </w:tcPr>
          <w:p>
            <w:pPr>
              <w:pStyle w:val="15"/>
              <w:rPr>
                <w:rFonts w:cs="Times New Roman"/>
              </w:rPr>
            </w:pPr>
            <w:r>
              <w:t>15</w:t>
            </w:r>
            <w:r>
              <w:rPr>
                <w:rFonts w:hint="eastAsia"/>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rPr>
                <w:rFonts w:cs="Times New Roman"/>
              </w:rPr>
            </w:pPr>
            <w:r>
              <w:rPr>
                <w:rFonts w:hint="eastAsia"/>
              </w:rPr>
              <w:t>质量指标</w:t>
            </w:r>
          </w:p>
        </w:tc>
        <w:tc>
          <w:tcPr>
            <w:tcW w:w="1332" w:type="dxa"/>
            <w:vAlign w:val="center"/>
          </w:tcPr>
          <w:p>
            <w:pPr>
              <w:pStyle w:val="15"/>
              <w:rPr>
                <w:rFonts w:cs="Times New Roman"/>
              </w:rPr>
            </w:pPr>
            <w:r>
              <w:rPr>
                <w:rFonts w:hint="eastAsia"/>
              </w:rPr>
              <w:t>课题立项成功通过率</w:t>
            </w:r>
          </w:p>
        </w:tc>
        <w:tc>
          <w:tcPr>
            <w:tcW w:w="3430" w:type="dxa"/>
            <w:vAlign w:val="center"/>
          </w:tcPr>
          <w:p>
            <w:pPr>
              <w:pStyle w:val="15"/>
              <w:rPr>
                <w:rFonts w:cs="Times New Roman"/>
              </w:rPr>
            </w:pPr>
            <w:r>
              <w:rPr>
                <w:rFonts w:hint="eastAsia"/>
              </w:rPr>
              <w:t>立项通过情况</w:t>
            </w:r>
          </w:p>
        </w:tc>
        <w:tc>
          <w:tcPr>
            <w:tcW w:w="2551" w:type="dxa"/>
            <w:vAlign w:val="center"/>
          </w:tcPr>
          <w:p>
            <w:pPr>
              <w:pStyle w:val="15"/>
            </w:pPr>
            <w:r>
              <w:rPr>
                <w:rFonts w:hint="eastAsia" w:ascii="宋体" w:hAnsi="宋体" w:eastAsia="宋体" w:cs="宋体"/>
              </w:rPr>
              <w:t>≥</w:t>
            </w: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效益指标</w:t>
            </w:r>
          </w:p>
        </w:tc>
        <w:tc>
          <w:tcPr>
            <w:tcW w:w="1276" w:type="dxa"/>
            <w:vAlign w:val="center"/>
          </w:tcPr>
          <w:p>
            <w:pPr>
              <w:pStyle w:val="15"/>
              <w:rPr>
                <w:rFonts w:cs="Times New Roman"/>
              </w:rPr>
            </w:pPr>
            <w:r>
              <w:rPr>
                <w:rFonts w:hint="eastAsia"/>
              </w:rPr>
              <w:t>社会效益指标</w:t>
            </w:r>
          </w:p>
        </w:tc>
        <w:tc>
          <w:tcPr>
            <w:tcW w:w="1332" w:type="dxa"/>
            <w:vAlign w:val="center"/>
          </w:tcPr>
          <w:p>
            <w:pPr>
              <w:pStyle w:val="15"/>
              <w:rPr>
                <w:rFonts w:cs="Times New Roman"/>
              </w:rPr>
            </w:pPr>
            <w:r>
              <w:rPr>
                <w:rFonts w:hint="eastAsia"/>
              </w:rPr>
              <w:t>提高审计人员理论水平和综合素质</w:t>
            </w:r>
          </w:p>
        </w:tc>
        <w:tc>
          <w:tcPr>
            <w:tcW w:w="3430" w:type="dxa"/>
            <w:vAlign w:val="center"/>
          </w:tcPr>
          <w:p>
            <w:pPr>
              <w:pStyle w:val="15"/>
              <w:rPr>
                <w:rFonts w:cs="Times New Roman"/>
              </w:rPr>
            </w:pPr>
            <w:r>
              <w:rPr>
                <w:rFonts w:hint="eastAsia"/>
              </w:rPr>
              <w:t>审计人员能力和素质提升情况</w:t>
            </w:r>
          </w:p>
        </w:tc>
        <w:tc>
          <w:tcPr>
            <w:tcW w:w="2551" w:type="dxa"/>
            <w:vAlign w:val="center"/>
          </w:tcPr>
          <w:p>
            <w:pPr>
              <w:pStyle w:val="15"/>
              <w:rPr>
                <w:rFonts w:cs="Times New Roman"/>
              </w:rPr>
            </w:pPr>
            <w:r>
              <w:rPr>
                <w:rFonts w:hint="eastAsia"/>
              </w:rP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cs="Times New Roman"/>
              </w:rPr>
            </w:pPr>
            <w:r>
              <w:rPr>
                <w:rFonts w:hint="eastAsia"/>
              </w:rPr>
              <w:t>满意度指标</w:t>
            </w:r>
          </w:p>
        </w:tc>
        <w:tc>
          <w:tcPr>
            <w:tcW w:w="1276" w:type="dxa"/>
            <w:vAlign w:val="center"/>
          </w:tcPr>
          <w:p>
            <w:pPr>
              <w:pStyle w:val="15"/>
              <w:rPr>
                <w:rFonts w:cs="Times New Roman"/>
              </w:rPr>
            </w:pPr>
            <w:r>
              <w:rPr>
                <w:rFonts w:hint="eastAsia"/>
              </w:rPr>
              <w:t>服务对象满意度指标</w:t>
            </w:r>
          </w:p>
        </w:tc>
        <w:tc>
          <w:tcPr>
            <w:tcW w:w="1332" w:type="dxa"/>
            <w:vAlign w:val="center"/>
          </w:tcPr>
          <w:p>
            <w:pPr>
              <w:pStyle w:val="15"/>
              <w:rPr>
                <w:rFonts w:cs="Times New Roman"/>
              </w:rPr>
            </w:pPr>
            <w:r>
              <w:rPr>
                <w:rFonts w:hint="eastAsia"/>
              </w:rPr>
              <w:t>审计人员满意度</w:t>
            </w:r>
          </w:p>
        </w:tc>
        <w:tc>
          <w:tcPr>
            <w:tcW w:w="3430" w:type="dxa"/>
            <w:vAlign w:val="center"/>
          </w:tcPr>
          <w:p>
            <w:pPr>
              <w:pStyle w:val="15"/>
              <w:rPr>
                <w:rFonts w:cs="Times New Roman"/>
              </w:rPr>
            </w:pPr>
            <w:r>
              <w:rPr>
                <w:rFonts w:hint="eastAsia"/>
              </w:rPr>
              <w:t>审计人员满意度情况</w:t>
            </w:r>
          </w:p>
        </w:tc>
        <w:tc>
          <w:tcPr>
            <w:tcW w:w="2551" w:type="dxa"/>
            <w:vAlign w:val="center"/>
          </w:tcPr>
          <w:p>
            <w:pPr>
              <w:pStyle w:val="15"/>
            </w:pPr>
            <w:r>
              <w:rPr>
                <w:rFonts w:hint="eastAsia" w:ascii="宋体" w:hAnsi="宋体" w:eastAsia="宋体" w:cs="宋体"/>
              </w:rPr>
              <w:t>≥</w:t>
            </w:r>
            <w:r>
              <w:t>75%</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D050000L"/>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roman"/>
    <w:pitch w:val="default"/>
    <w:sig w:usb0="00000001" w:usb1="080E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_GBK">
    <w:panose1 w:val="03000502000000000000"/>
    <w:charset w:val="86"/>
    <w:family w:val="roman"/>
    <w:pitch w:val="default"/>
    <w:sig w:usb0="00000001" w:usb1="080E0000" w:usb2="00000000" w:usb3="00000000" w:csb0="00040000" w:csb1="00000000"/>
  </w:font>
  <w:font w:name="D050000L">
    <w:panose1 w:val="01010601010101010101"/>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oNotHyphenateCaps/>
  <w:evenAndOddHeaders w:val="true"/>
  <w:characterSpacingControl w:val="doNotCompress"/>
  <w:noLineBreaksAfter w:lang="zh-CN" w:val="$([{£¥·‘“〈《「『【〔〖〝﹙﹛﹝＄（．［｛￡￥"/>
  <w:noLineBreaksBefore w:lang="zh-CN" w:val="!%),.:;&gt;?]}¢¨°·ˇˉ―‖’”…‰′″›℃∶、。〃〉》」』】〕〗〞︶︺︾﹀﹄﹚﹜﹞！＂％＇），．：；？］｀｜｝～￠"/>
  <w:doNotValidateAgainstSchema/>
  <w:doNotDemarcateInvalidXml/>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E4"/>
    <w:rsid w:val="003575BE"/>
    <w:rsid w:val="004901D8"/>
    <w:rsid w:val="00AD7F1F"/>
    <w:rsid w:val="00C80056"/>
    <w:rsid w:val="00EF50E4"/>
    <w:rsid w:val="3BBDD4B8"/>
    <w:rsid w:val="7F7F8D9A"/>
    <w:rsid w:val="DF5EB5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99"/>
    <w:pPr>
      <w:spacing w:before="120"/>
    </w:pPr>
    <w:rPr>
      <w:rFonts w:eastAsia="方正仿宋_GBK"/>
      <w:color w:val="000000"/>
      <w:sz w:val="28"/>
      <w:szCs w:val="28"/>
    </w:rPr>
  </w:style>
  <w:style w:type="paragraph" w:styleId="5">
    <w:name w:val="toc 4"/>
    <w:basedOn w:val="1"/>
    <w:next w:val="1"/>
    <w:semiHidden/>
    <w:qFormat/>
    <w:uiPriority w:val="99"/>
    <w:pPr>
      <w:ind w:left="720"/>
    </w:pPr>
  </w:style>
  <w:style w:type="paragraph" w:styleId="6">
    <w:name w:val="toc 2"/>
    <w:basedOn w:val="1"/>
    <w:next w:val="1"/>
    <w:semiHidden/>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99"/>
    <w:pPr>
      <w:spacing w:line="500" w:lineRule="exact"/>
      <w:ind w:firstLine="560"/>
    </w:pPr>
    <w:rPr>
      <w:rFonts w:eastAsia="方正仿宋_GBK"/>
      <w:sz w:val="28"/>
      <w:szCs w:val="28"/>
    </w:rPr>
  </w:style>
  <w:style w:type="paragraph" w:customStyle="1" w:styleId="11">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12">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5"/>
    <w:basedOn w:val="1"/>
    <w:qFormat/>
    <w:uiPriority w:val="99"/>
    <w:rPr>
      <w:rFonts w:ascii="方正书宋_GBK" w:hAnsi="方正书宋_GBK" w:eastAsia="方正书宋_GBK" w:cs="方正书宋_GBK"/>
      <w:b/>
      <w:bCs/>
      <w:sz w:val="21"/>
      <w:szCs w:val="21"/>
    </w:rPr>
  </w:style>
  <w:style w:type="paragraph" w:customStyle="1" w:styleId="15">
    <w:name w:val="单元格样式2"/>
    <w:basedOn w:val="1"/>
    <w:qFormat/>
    <w:uiPriority w:val="99"/>
    <w:rPr>
      <w:rFonts w:ascii="方正书宋_GBK" w:hAnsi="方正书宋_GBK" w:eastAsia="方正书宋_GBK" w:cs="方正书宋_GBK"/>
      <w:sz w:val="21"/>
      <w:szCs w:val="21"/>
    </w:rPr>
  </w:style>
  <w:style w:type="paragraph" w:customStyle="1" w:styleId="16">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3"/>
    <w:basedOn w:val="1"/>
    <w:qFormat/>
    <w:uiPriority w:val="99"/>
    <w:pPr>
      <w:jc w:val="center"/>
    </w:pPr>
    <w:rPr>
      <w:rFonts w:ascii="方正书宋_GBK" w:hAnsi="方正书宋_GBK" w:eastAsia="方正书宋_GBK" w:cs="方正书宋_GBK"/>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782</Words>
  <Characters>4458</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2024-02-20T00:58:00Z</dcterms:created>
  <dc:creator>天津市审计局</dc:creator>
  <cp:lastModifiedBy>李立辉</cp:lastModifiedBy>
  <cp:lastPrinted>2024-02-26T14:26:14Z</cp:lastPrinted>
  <dcterms:modified xsi:type="dcterms:W3CDTF">2024-02-26T14:29:30Z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