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color w:val="333333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微软雅黑" w:hAnsi="微软雅黑" w:eastAsia="微软雅黑" w:cs="微软雅黑"/>
          <w:b/>
          <w:color w:val="333333"/>
          <w:kern w:val="0"/>
          <w:sz w:val="44"/>
          <w:szCs w:val="44"/>
          <w:lang w:val="en-US" w:eastAsia="zh-CN" w:bidi="ar"/>
        </w:rPr>
        <w:t>天津市审计局2021年度重大</w:t>
      </w:r>
    </w:p>
    <w:p>
      <w:pPr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微软雅黑" w:hAnsi="微软雅黑" w:eastAsia="微软雅黑" w:cs="微软雅黑"/>
          <w:b/>
          <w:color w:val="333333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color w:val="333333"/>
          <w:kern w:val="0"/>
          <w:sz w:val="44"/>
          <w:szCs w:val="44"/>
          <w:lang w:val="en-US" w:eastAsia="zh-CN" w:bidi="ar"/>
        </w:rPr>
        <w:t>行政决策事项目录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</w:rPr>
      </w:pPr>
    </w:p>
    <w:tbl>
      <w:tblPr>
        <w:tblW w:w="9177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"/>
        <w:gridCol w:w="5257"/>
        <w:gridCol w:w="28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序号</w:t>
            </w:r>
          </w:p>
        </w:tc>
        <w:tc>
          <w:tcPr>
            <w:tcW w:w="5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决策事项名称</w:t>
            </w:r>
          </w:p>
        </w:tc>
        <w:tc>
          <w:tcPr>
            <w:tcW w:w="2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承办部门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0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天津市“十四五”审计工作发展规划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市委审计办秘书处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天津市2022年审计项目计划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bdr w:val="none" w:color="auto" w:sz="0" w:space="0"/>
              </w:rPr>
              <w:t>综合处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  <w:shd w:val="clear" w:fill="FFFFFF"/>
        </w:rPr>
      </w:pPr>
    </w:p>
    <w:sectPr>
      <w:pgSz w:w="11906" w:h="16838"/>
      <w:pgMar w:top="1984" w:right="1474" w:bottom="1928" w:left="1587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C61D8"/>
    <w:rsid w:val="1A7B2CEA"/>
    <w:rsid w:val="2AD45ABD"/>
    <w:rsid w:val="42C358EB"/>
    <w:rsid w:val="5D7C61D8"/>
    <w:rsid w:val="67712C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2023-03-29T03:09:00Z</dcterms:created>
  <dc:creator>pc</dc:creator>
  <cp:lastModifiedBy>pc</cp:lastModifiedBy>
  <dcterms:modified xsi:type="dcterms:W3CDTF">2023-03-29T05:31:43Z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