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hint="eastAsia" w:ascii="文星标宋" w:hAnsi="文星标宋" w:eastAsia="文星标宋"/>
          <w:sz w:val="44"/>
          <w:szCs w:val="44"/>
          <w:lang w:eastAsia="zh-CN"/>
        </w:rPr>
      </w:pPr>
      <w:bookmarkStart w:id="0" w:name="_GoBack"/>
      <w:r>
        <w:rPr>
          <w:rFonts w:hint="eastAsia" w:ascii="文星标宋" w:hAnsi="文星标宋" w:eastAsia="文星标宋"/>
          <w:sz w:val="44"/>
          <w:szCs w:val="44"/>
          <w:lang w:eastAsia="zh-CN"/>
        </w:rPr>
        <w:t>市审计局关于修改《天津市审计机关</w:t>
      </w:r>
    </w:p>
    <w:p>
      <w:pPr>
        <w:spacing w:line="760" w:lineRule="exact"/>
        <w:jc w:val="center"/>
        <w:rPr>
          <w:rFonts w:hint="eastAsia" w:ascii="文星标宋" w:hAnsi="文星标宋" w:eastAsia="文星标宋"/>
          <w:sz w:val="44"/>
          <w:szCs w:val="44"/>
          <w:lang w:eastAsia="zh-CN"/>
        </w:rPr>
      </w:pPr>
      <w:r>
        <w:rPr>
          <w:rFonts w:hint="eastAsia" w:ascii="文星标宋" w:hAnsi="文星标宋" w:eastAsia="文星标宋"/>
          <w:sz w:val="44"/>
          <w:szCs w:val="44"/>
          <w:lang w:eastAsia="zh-CN"/>
        </w:rPr>
        <w:t>审计结果公告暂行办法》的通知</w:t>
      </w:r>
    </w:p>
    <w:bookmarkEnd w:id="0"/>
    <w:p>
      <w:pPr>
        <w:adjustRightInd w:val="0"/>
        <w:snapToGrid w:val="0"/>
        <w:spacing w:line="579" w:lineRule="exact"/>
        <w:rPr>
          <w:rFonts w:hint="eastAsia" w:eastAsia="仿宋_GB2312"/>
          <w:sz w:val="32"/>
        </w:rPr>
      </w:pPr>
    </w:p>
    <w:p>
      <w:pPr>
        <w:keepNext w:val="0"/>
        <w:keepLines w:val="0"/>
        <w:pageBreakBefore w:val="0"/>
        <w:kinsoku/>
        <w:wordWrap/>
        <w:overflowPunct/>
        <w:topLinePunct w:val="0"/>
        <w:autoSpaceDE/>
        <w:autoSpaceDN/>
        <w:bidi w:val="0"/>
        <w:spacing w:line="620" w:lineRule="exact"/>
        <w:ind w:left="0" w:leftChars="0" w:right="0" w:rightChars="0"/>
        <w:textAlignment w:val="auto"/>
        <w:outlineLvl w:val="9"/>
        <w:rPr>
          <w:rFonts w:hint="eastAsia" w:eastAsia="仿宋_GB2312"/>
          <w:sz w:val="32"/>
          <w:szCs w:val="32"/>
        </w:rPr>
      </w:pPr>
      <w:r>
        <w:rPr>
          <w:rFonts w:hint="eastAsia" w:ascii="仿宋_GB2312" w:eastAsia="仿宋_GB2312"/>
          <w:sz w:val="32"/>
          <w:szCs w:val="32"/>
        </w:rPr>
        <w:t>各区审计局，局机关各部门、直属单位</w:t>
      </w:r>
      <w:r>
        <w:rPr>
          <w:rFonts w:eastAsia="仿宋_GB2312"/>
          <w:sz w:val="32"/>
          <w:szCs w:val="32"/>
        </w:rPr>
        <w:t>：</w:t>
      </w:r>
    </w:p>
    <w:p>
      <w:pPr>
        <w:keepNext w:val="0"/>
        <w:keepLines w:val="0"/>
        <w:pageBreakBefore w:val="0"/>
        <w:tabs>
          <w:tab w:val="left" w:pos="7600"/>
        </w:tabs>
        <w:kinsoku/>
        <w:wordWrap/>
        <w:overflowPunct/>
        <w:topLinePunct w:val="0"/>
        <w:autoSpaceDE/>
        <w:autoSpaceDN/>
        <w:bidi w:val="0"/>
        <w:adjustRightInd w:val="0"/>
        <w:snapToGrid w:val="0"/>
        <w:spacing w:line="620" w:lineRule="exact"/>
        <w:ind w:left="0" w:leftChars="0" w:right="0" w:rightChars="0" w:firstLine="640" w:firstLineChars="200"/>
        <w:textAlignment w:val="auto"/>
        <w:outlineLvl w:val="9"/>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为进一步强化审计结果公告工作，现对《</w:t>
      </w:r>
      <w:r>
        <w:rPr>
          <w:rFonts w:hint="default" w:ascii="仿宋_GB2312" w:eastAsia="仿宋_GB2312"/>
          <w:snapToGrid w:val="0"/>
          <w:kern w:val="0"/>
          <w:sz w:val="32"/>
          <w:szCs w:val="32"/>
          <w:lang w:val="en-US" w:eastAsia="zh-CN"/>
        </w:rPr>
        <w:t>天津市审计机关审计结果公告暂行办法</w:t>
      </w:r>
      <w:r>
        <w:rPr>
          <w:rFonts w:hint="eastAsia" w:ascii="仿宋_GB2312" w:eastAsia="仿宋_GB2312"/>
          <w:snapToGrid w:val="0"/>
          <w:kern w:val="0"/>
          <w:sz w:val="32"/>
          <w:szCs w:val="32"/>
          <w:lang w:val="en-US" w:eastAsia="zh-CN"/>
        </w:rPr>
        <w:t>》（津审规字</w:t>
      </w:r>
      <w:r>
        <w:rPr>
          <w:rFonts w:hint="default" w:ascii="Times New Roman" w:hAnsi="Times New Roman" w:eastAsia="仿宋_GB2312" w:cs="Times New Roman"/>
          <w:snapToGrid w:val="0"/>
          <w:kern w:val="0"/>
          <w:sz w:val="32"/>
          <w:szCs w:val="32"/>
          <w:lang w:val="en-US" w:eastAsia="zh-CN"/>
        </w:rPr>
        <w:t>〔2018〕1号）</w:t>
      </w:r>
      <w:r>
        <w:rPr>
          <w:rFonts w:hint="eastAsia" w:ascii="仿宋_GB2312" w:eastAsia="仿宋_GB2312"/>
          <w:snapToGrid w:val="0"/>
          <w:kern w:val="0"/>
          <w:sz w:val="32"/>
          <w:szCs w:val="32"/>
          <w:lang w:val="en-US" w:eastAsia="zh-CN"/>
        </w:rPr>
        <w:t>做出如下修改：</w:t>
      </w:r>
    </w:p>
    <w:p>
      <w:pPr>
        <w:keepNext w:val="0"/>
        <w:keepLines w:val="0"/>
        <w:pageBreakBefore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eastAsia" w:ascii="仿宋_GB2312" w:eastAsia="仿宋_GB2312"/>
          <w:snapToGrid w:val="0"/>
          <w:kern w:val="0"/>
          <w:sz w:val="32"/>
          <w:szCs w:val="32"/>
          <w:lang w:val="en-US" w:eastAsia="zh-CN"/>
        </w:rPr>
        <w:t>一、将第五条修改为：“</w:t>
      </w:r>
      <w:r>
        <w:rPr>
          <w:rFonts w:hint="default" w:ascii="Times New Roman" w:hAnsi="Times New Roman" w:eastAsia="仿宋_GB2312" w:cs="Times New Roman"/>
          <w:sz w:val="32"/>
          <w:szCs w:val="32"/>
        </w:rPr>
        <w:t>审计机关依据法律法规和国家有关规定，下列审计结果应当依法公告：</w:t>
      </w:r>
    </w:p>
    <w:p>
      <w:pPr>
        <w:keepNext w:val="0"/>
        <w:keepLines w:val="0"/>
        <w:pageBreakBefore w:val="0"/>
        <w:widowControl/>
        <w:suppressLineNumbers w:val="0"/>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spacing w:val="0"/>
          <w:kern w:val="2"/>
          <w:sz w:val="32"/>
          <w:szCs w:val="32"/>
          <w:shd w:val="clear" w:color="auto" w:fill="auto"/>
          <w:lang w:val="en-US" w:eastAsia="zh-CN" w:bidi="ar"/>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i w:val="0"/>
          <w:caps w:val="0"/>
          <w:spacing w:val="0"/>
          <w:kern w:val="2"/>
          <w:sz w:val="32"/>
          <w:szCs w:val="32"/>
          <w:shd w:val="clear" w:color="auto" w:fill="auto"/>
          <w:lang w:val="en-US" w:eastAsia="zh-CN" w:bidi="ar"/>
        </w:rPr>
        <w:t>本级各部门（含直属单位）和下级政府预算的执行情况和决算以及其他财政收支情况审计；</w:t>
      </w:r>
    </w:p>
    <w:p>
      <w:pPr>
        <w:keepNext w:val="0"/>
        <w:keepLines w:val="0"/>
        <w:pageBreakBefore w:val="0"/>
        <w:widowControl/>
        <w:suppressLineNumbers w:val="0"/>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spacing w:val="0"/>
          <w:kern w:val="2"/>
          <w:sz w:val="32"/>
          <w:szCs w:val="32"/>
          <w:shd w:val="clear" w:color="auto" w:fill="auto"/>
          <w:lang w:val="en-US" w:eastAsia="zh-CN" w:bidi="ar"/>
        </w:rPr>
      </w:pPr>
      <w:r>
        <w:rPr>
          <w:rFonts w:hint="default" w:ascii="Times New Roman" w:hAnsi="Times New Roman" w:eastAsia="仿宋_GB2312" w:cs="Times New Roman"/>
          <w:i w:val="0"/>
          <w:caps w:val="0"/>
          <w:spacing w:val="0"/>
          <w:kern w:val="2"/>
          <w:sz w:val="32"/>
          <w:szCs w:val="32"/>
          <w:shd w:val="clear" w:color="auto" w:fill="auto"/>
          <w:lang w:val="en-US" w:eastAsia="zh-CN" w:bidi="ar"/>
        </w:rPr>
        <w:t>（二）本级预算执行情况、决算草案以及其他财政收支情况审计；</w:t>
      </w:r>
    </w:p>
    <w:p>
      <w:pPr>
        <w:keepNext w:val="0"/>
        <w:keepLines w:val="0"/>
        <w:pageBreakBefore w:val="0"/>
        <w:widowControl/>
        <w:suppressLineNumbers w:val="0"/>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spacing w:val="0"/>
          <w:kern w:val="2"/>
          <w:sz w:val="32"/>
          <w:szCs w:val="32"/>
          <w:shd w:val="clear" w:color="auto" w:fill="auto"/>
          <w:lang w:val="en-US" w:eastAsia="zh-CN" w:bidi="ar"/>
        </w:rPr>
      </w:pPr>
      <w:r>
        <w:rPr>
          <w:rFonts w:hint="default" w:ascii="Times New Roman" w:hAnsi="Times New Roman" w:eastAsia="仿宋_GB2312" w:cs="Times New Roman"/>
          <w:i w:val="0"/>
          <w:caps w:val="0"/>
          <w:spacing w:val="0"/>
          <w:kern w:val="2"/>
          <w:sz w:val="32"/>
          <w:szCs w:val="32"/>
          <w:shd w:val="clear" w:color="auto" w:fill="auto"/>
          <w:lang w:val="en-US" w:eastAsia="zh-CN" w:bidi="ar"/>
        </w:rPr>
        <w:t>（三）国家的事业组织和使用财政资金的其他事业组织的财务收支审计；</w:t>
      </w:r>
    </w:p>
    <w:p>
      <w:pPr>
        <w:keepNext w:val="0"/>
        <w:keepLines w:val="0"/>
        <w:pageBreakBefore w:val="0"/>
        <w:widowControl/>
        <w:suppressLineNumbers w:val="0"/>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spacing w:val="0"/>
          <w:kern w:val="2"/>
          <w:sz w:val="32"/>
          <w:szCs w:val="32"/>
          <w:shd w:val="clear" w:color="auto" w:fill="auto"/>
          <w:lang w:val="en-US" w:eastAsia="zh-CN" w:bidi="ar"/>
        </w:rPr>
      </w:pPr>
      <w:r>
        <w:rPr>
          <w:rFonts w:hint="default" w:ascii="Times New Roman" w:hAnsi="Times New Roman" w:eastAsia="仿宋_GB2312" w:cs="Times New Roman"/>
          <w:i w:val="0"/>
          <w:caps w:val="0"/>
          <w:spacing w:val="0"/>
          <w:kern w:val="2"/>
          <w:sz w:val="32"/>
          <w:szCs w:val="32"/>
          <w:shd w:val="clear" w:color="auto" w:fill="auto"/>
          <w:lang w:val="en-US" w:eastAsia="zh-CN" w:bidi="ar"/>
        </w:rPr>
        <w:t>（四）国有企业、国有金融机构和国有资本占控股地位或者主导地位的企业、金融机构的资产、负债、损益以及其他财务收支情况审计；</w:t>
      </w:r>
    </w:p>
    <w:p>
      <w:pPr>
        <w:keepNext w:val="0"/>
        <w:keepLines w:val="0"/>
        <w:pageBreakBefore w:val="0"/>
        <w:widowControl/>
        <w:suppressLineNumbers w:val="0"/>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spacing w:val="0"/>
          <w:kern w:val="2"/>
          <w:sz w:val="32"/>
          <w:szCs w:val="32"/>
          <w:shd w:val="clear" w:color="auto" w:fill="auto"/>
          <w:lang w:val="en-US" w:eastAsia="zh-CN" w:bidi="ar"/>
        </w:rPr>
      </w:pPr>
      <w:r>
        <w:rPr>
          <w:rFonts w:hint="default" w:ascii="Times New Roman" w:hAnsi="Times New Roman" w:eastAsia="仿宋_GB2312" w:cs="Times New Roman"/>
          <w:i w:val="0"/>
          <w:caps w:val="0"/>
          <w:spacing w:val="0"/>
          <w:kern w:val="2"/>
          <w:sz w:val="32"/>
          <w:szCs w:val="32"/>
          <w:shd w:val="clear" w:color="auto" w:fill="auto"/>
          <w:lang w:val="en-US" w:eastAsia="zh-CN" w:bidi="ar"/>
        </w:rPr>
        <w:t>（五）政府投资和以政府投资为主的建设项目的预算执行情况和决算，对其他关系国家利益和公共利益的重大公共工程项目的资金管理使用和建设运营情况审计；</w:t>
      </w:r>
    </w:p>
    <w:p>
      <w:pPr>
        <w:keepNext w:val="0"/>
        <w:keepLines w:val="0"/>
        <w:pageBreakBefore w:val="0"/>
        <w:widowControl/>
        <w:suppressLineNumbers w:val="0"/>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spacing w:val="0"/>
          <w:kern w:val="2"/>
          <w:sz w:val="32"/>
          <w:szCs w:val="32"/>
          <w:shd w:val="clear" w:color="auto" w:fill="auto"/>
          <w:lang w:val="en-US" w:eastAsia="zh-CN" w:bidi="ar"/>
        </w:rPr>
      </w:pPr>
      <w:r>
        <w:rPr>
          <w:rFonts w:hint="default" w:ascii="Times New Roman" w:hAnsi="Times New Roman" w:eastAsia="仿宋_GB2312" w:cs="Times New Roman"/>
          <w:i w:val="0"/>
          <w:caps w:val="0"/>
          <w:spacing w:val="0"/>
          <w:kern w:val="2"/>
          <w:sz w:val="32"/>
          <w:szCs w:val="32"/>
          <w:shd w:val="clear" w:color="auto" w:fill="auto"/>
          <w:lang w:val="en-US" w:eastAsia="zh-CN" w:bidi="ar"/>
        </w:rPr>
        <w:t>（六）国有资源、国有资产审计；</w:t>
      </w:r>
    </w:p>
    <w:p>
      <w:pPr>
        <w:keepNext w:val="0"/>
        <w:keepLines w:val="0"/>
        <w:pageBreakBefore w:val="0"/>
        <w:widowControl/>
        <w:suppressLineNumbers w:val="0"/>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spacing w:val="0"/>
          <w:kern w:val="2"/>
          <w:sz w:val="32"/>
          <w:szCs w:val="32"/>
          <w:shd w:val="clear" w:color="auto" w:fill="auto"/>
          <w:lang w:val="en-US" w:eastAsia="zh-CN" w:bidi="ar"/>
        </w:rPr>
      </w:pPr>
      <w:r>
        <w:rPr>
          <w:rFonts w:hint="default" w:ascii="Times New Roman" w:hAnsi="Times New Roman" w:eastAsia="仿宋_GB2312" w:cs="Times New Roman"/>
          <w:i w:val="0"/>
          <w:caps w:val="0"/>
          <w:spacing w:val="0"/>
          <w:kern w:val="2"/>
          <w:sz w:val="32"/>
          <w:szCs w:val="32"/>
          <w:shd w:val="clear" w:color="auto" w:fill="auto"/>
          <w:lang w:val="en-US" w:eastAsia="zh-CN" w:bidi="ar"/>
        </w:rPr>
        <w:t>（七）政府部门管理的和其他单位受政府委托管理的社会保险基金、全国社会保障基金、社会捐赠资金以及其他公共资金的财务收支审计；</w:t>
      </w:r>
    </w:p>
    <w:p>
      <w:pPr>
        <w:keepNext w:val="0"/>
        <w:keepLines w:val="0"/>
        <w:pageBreakBefore w:val="0"/>
        <w:widowControl/>
        <w:suppressLineNumbers w:val="0"/>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spacing w:val="0"/>
          <w:kern w:val="2"/>
          <w:sz w:val="32"/>
          <w:szCs w:val="32"/>
          <w:shd w:val="clear" w:color="auto" w:fill="auto"/>
          <w:lang w:val="en-US" w:eastAsia="zh-CN" w:bidi="ar"/>
        </w:rPr>
      </w:pPr>
      <w:r>
        <w:rPr>
          <w:rFonts w:hint="default" w:ascii="Times New Roman" w:hAnsi="Times New Roman" w:eastAsia="仿宋_GB2312" w:cs="Times New Roman"/>
          <w:i w:val="0"/>
          <w:caps w:val="0"/>
          <w:spacing w:val="0"/>
          <w:kern w:val="2"/>
          <w:sz w:val="32"/>
          <w:szCs w:val="32"/>
          <w:shd w:val="clear" w:color="auto" w:fill="auto"/>
          <w:lang w:val="en-US" w:eastAsia="zh-CN" w:bidi="ar"/>
        </w:rPr>
        <w:t>（八）国际组织和外国政府援助、贷款项目的财务收支审计；</w:t>
      </w:r>
    </w:p>
    <w:p>
      <w:pPr>
        <w:keepNext w:val="0"/>
        <w:keepLines w:val="0"/>
        <w:pageBreakBefore w:val="0"/>
        <w:widowControl/>
        <w:suppressLineNumbers w:val="0"/>
        <w:kinsoku/>
        <w:wordWrap/>
        <w:overflowPunct/>
        <w:topLinePunct w:val="0"/>
        <w:autoSpaceDE/>
        <w:autoSpaceDN/>
        <w:bidi w:val="0"/>
        <w:spacing w:line="620" w:lineRule="exact"/>
        <w:ind w:left="0" w:leftChars="0" w:right="0" w:rightChars="0" w:firstLine="640" w:firstLineChars="200"/>
        <w:jc w:val="left"/>
        <w:textAlignment w:val="auto"/>
        <w:outlineLvl w:val="9"/>
        <w:rPr>
          <w:rFonts w:hint="default" w:ascii="Times New Roman" w:hAnsi="Times New Roman" w:eastAsia="仿宋_GB2312" w:cs="Times New Roman"/>
          <w:i w:val="0"/>
          <w:caps w:val="0"/>
          <w:spacing w:val="0"/>
          <w:kern w:val="2"/>
          <w:sz w:val="32"/>
          <w:szCs w:val="32"/>
          <w:shd w:val="clear" w:color="auto" w:fill="auto"/>
          <w:lang w:val="en-US" w:eastAsia="zh-CN" w:bidi="ar"/>
        </w:rPr>
      </w:pPr>
      <w:r>
        <w:rPr>
          <w:rFonts w:hint="default" w:ascii="Times New Roman" w:hAnsi="Times New Roman" w:eastAsia="仿宋_GB2312" w:cs="Times New Roman"/>
          <w:i w:val="0"/>
          <w:caps w:val="0"/>
          <w:spacing w:val="0"/>
          <w:kern w:val="2"/>
          <w:sz w:val="32"/>
          <w:szCs w:val="32"/>
          <w:shd w:val="clear" w:color="auto" w:fill="auto"/>
          <w:lang w:val="en-US" w:eastAsia="zh-CN" w:bidi="ar"/>
        </w:rPr>
        <w:t>（九）贯彻落实国家重大经济社会政策措施情况审计；</w:t>
      </w:r>
    </w:p>
    <w:p>
      <w:pPr>
        <w:keepNext w:val="0"/>
        <w:keepLines w:val="0"/>
        <w:pageBreakBefore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（十）专项审计调查；</w:t>
      </w:r>
    </w:p>
    <w:p>
      <w:pPr>
        <w:keepNext w:val="0"/>
        <w:keepLines w:val="0"/>
        <w:pageBreakBefore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（十一）其他需要公告的审计结果。</w:t>
      </w:r>
    </w:p>
    <w:p>
      <w:pPr>
        <w:keepNext w:val="0"/>
        <w:keepLines w:val="0"/>
        <w:pageBreakBefore w:val="0"/>
        <w:widowControl/>
        <w:suppressLineNumbers w:val="0"/>
        <w:kinsoku/>
        <w:wordWrap/>
        <w:overflowPunct/>
        <w:topLinePunct w:val="0"/>
        <w:autoSpaceDE/>
        <w:autoSpaceDN/>
        <w:bidi w:val="0"/>
        <w:spacing w:line="620" w:lineRule="exact"/>
        <w:ind w:left="0" w:leftChars="0" w:right="0" w:rightChars="0" w:firstLine="640" w:firstLineChars="200"/>
        <w:jc w:val="left"/>
        <w:textAlignment w:val="auto"/>
        <w:outlineLvl w:val="9"/>
        <w:rPr>
          <w:rFonts w:hint="eastAsia" w:ascii="仿宋_GB2312" w:eastAsia="仿宋_GB2312"/>
          <w:snapToGrid w:val="0"/>
          <w:kern w:val="0"/>
          <w:sz w:val="32"/>
          <w:szCs w:val="32"/>
          <w:lang w:val="en-US" w:eastAsia="zh-CN"/>
        </w:rPr>
      </w:pPr>
      <w:r>
        <w:rPr>
          <w:rFonts w:hint="default" w:ascii="Times New Roman" w:hAnsi="Times New Roman" w:eastAsia="仿宋_GB2312" w:cs="Times New Roman"/>
          <w:i w:val="0"/>
          <w:caps w:val="0"/>
          <w:spacing w:val="0"/>
          <w:kern w:val="2"/>
          <w:sz w:val="32"/>
          <w:szCs w:val="32"/>
          <w:shd w:val="clear" w:color="auto" w:fill="auto"/>
          <w:lang w:val="en-US" w:eastAsia="zh-CN" w:bidi="ar"/>
        </w:rPr>
        <w:t>领导干部经济责任审计和自然资源资产离任审计</w:t>
      </w:r>
      <w:r>
        <w:rPr>
          <w:rFonts w:hint="default" w:ascii="Times New Roman" w:hAnsi="Times New Roman" w:eastAsia="仿宋_GB2312" w:cs="Times New Roman"/>
          <w:sz w:val="32"/>
          <w:szCs w:val="32"/>
          <w:lang w:bidi="ar"/>
        </w:rPr>
        <w:t>结果公告</w:t>
      </w:r>
      <w:r>
        <w:rPr>
          <w:rFonts w:hint="default" w:ascii="Times New Roman" w:hAnsi="Times New Roman" w:eastAsia="仿宋_GB2312" w:cs="Times New Roman"/>
          <w:i w:val="0"/>
          <w:caps w:val="0"/>
          <w:spacing w:val="0"/>
          <w:kern w:val="2"/>
          <w:sz w:val="32"/>
          <w:szCs w:val="32"/>
          <w:shd w:val="clear" w:color="auto" w:fill="auto"/>
          <w:lang w:val="en-US" w:eastAsia="zh-CN" w:bidi="ar"/>
        </w:rPr>
        <w:t>，依照《中华人民共和国审计法》和国家有关规定执行。</w:t>
      </w:r>
      <w:r>
        <w:rPr>
          <w:rFonts w:hint="eastAsia" w:ascii="仿宋_GB2312" w:eastAsia="仿宋_GB2312"/>
          <w:snapToGrid w:val="0"/>
          <w:kern w:val="0"/>
          <w:sz w:val="32"/>
          <w:szCs w:val="32"/>
          <w:lang w:val="en-US" w:eastAsia="zh-CN"/>
        </w:rPr>
        <w:t>”</w:t>
      </w:r>
    </w:p>
    <w:p>
      <w:pPr>
        <w:keepNext w:val="0"/>
        <w:keepLines w:val="0"/>
        <w:pageBreakBefore w:val="0"/>
        <w:kinsoku/>
        <w:wordWrap/>
        <w:overflowPunct/>
        <w:topLinePunct w:val="0"/>
        <w:autoSpaceDE/>
        <w:autoSpaceDN/>
        <w:bidi w:val="0"/>
        <w:spacing w:line="62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eastAsia" w:ascii="仿宋_GB2312" w:eastAsia="仿宋_GB2312"/>
          <w:snapToGrid w:val="0"/>
          <w:kern w:val="0"/>
          <w:sz w:val="32"/>
          <w:szCs w:val="32"/>
          <w:lang w:val="en-US" w:eastAsia="zh-CN"/>
        </w:rPr>
        <w:t>二、将第六条修改为：“</w:t>
      </w:r>
      <w:r>
        <w:rPr>
          <w:rFonts w:hint="default" w:ascii="Times New Roman" w:hAnsi="Times New Roman" w:eastAsia="仿宋_GB2312" w:cs="Times New Roman"/>
          <w:sz w:val="32"/>
          <w:szCs w:val="32"/>
        </w:rPr>
        <w:t>审计机关公告审计结果时，不得公布下列信息：</w:t>
      </w:r>
    </w:p>
    <w:p>
      <w:pPr>
        <w:keepNext w:val="0"/>
        <w:keepLines w:val="0"/>
        <w:pageBreakBefore w:val="0"/>
        <w:shd w:val="clear" w:color="auto" w:fill="auto"/>
        <w:kinsoku/>
        <w:wordWrap/>
        <w:overflowPunct/>
        <w:topLinePunct w:val="0"/>
        <w:autoSpaceDE/>
        <w:autoSpaceDN/>
        <w:bidi w:val="0"/>
        <w:spacing w:beforeAutospacing="0" w:afterAutospacing="0" w:line="620" w:lineRule="exact"/>
        <w:ind w:left="0" w:leftChars="0" w:right="0" w:rightChars="0" w:firstLine="640" w:firstLineChars="200"/>
        <w:jc w:val="left"/>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（一）涉及国家秘密</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i w:val="0"/>
          <w:caps w:val="0"/>
          <w:spacing w:val="0"/>
          <w:kern w:val="2"/>
          <w:sz w:val="32"/>
          <w:szCs w:val="32"/>
          <w:shd w:val="clear" w:color="auto" w:fill="auto"/>
          <w:lang w:val="en-US" w:eastAsia="zh-CN" w:bidi="ar"/>
        </w:rPr>
        <w:t>工作秘密、商业秘密、个人隐私和个人信息</w:t>
      </w:r>
      <w:r>
        <w:rPr>
          <w:rFonts w:hint="default" w:ascii="Times New Roman" w:hAnsi="Times New Roman" w:eastAsia="仿宋_GB2312" w:cs="Times New Roman"/>
          <w:kern w:val="2"/>
          <w:sz w:val="32"/>
          <w:szCs w:val="32"/>
        </w:rPr>
        <w:t>的信息；</w:t>
      </w:r>
    </w:p>
    <w:p>
      <w:pPr>
        <w:keepNext w:val="0"/>
        <w:keepLines w:val="0"/>
        <w:pageBreakBefore w:val="0"/>
        <w:shd w:val="clear" w:color="auto" w:fill="auto"/>
        <w:kinsoku/>
        <w:wordWrap/>
        <w:overflowPunct/>
        <w:topLinePunct w:val="0"/>
        <w:autoSpaceDE/>
        <w:autoSpaceDN/>
        <w:bidi w:val="0"/>
        <w:spacing w:beforeAutospacing="0" w:afterAutospacing="0" w:line="620" w:lineRule="exact"/>
        <w:ind w:left="0" w:leftChars="0" w:right="0" w:rightChars="0" w:firstLine="640" w:firstLineChars="200"/>
        <w:jc w:val="left"/>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（二）正在调查、处理过程中的事项；</w:t>
      </w:r>
    </w:p>
    <w:p>
      <w:pPr>
        <w:keepNext w:val="0"/>
        <w:keepLines w:val="0"/>
        <w:pageBreakBefore w:val="0"/>
        <w:shd w:val="clear" w:color="auto" w:fill="auto"/>
        <w:kinsoku/>
        <w:wordWrap/>
        <w:overflowPunct/>
        <w:topLinePunct w:val="0"/>
        <w:autoSpaceDE/>
        <w:autoSpaceDN/>
        <w:bidi w:val="0"/>
        <w:spacing w:beforeAutospacing="0" w:afterAutospacing="0" w:line="620" w:lineRule="exact"/>
        <w:ind w:left="0" w:leftChars="0" w:right="0" w:rightChars="0" w:firstLine="640" w:firstLineChars="200"/>
        <w:jc w:val="left"/>
        <w:textAlignment w:val="auto"/>
        <w:outlineLvl w:val="9"/>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（三）依照法律法规的规定不予公开的其他信息。</w:t>
      </w:r>
    </w:p>
    <w:p>
      <w:pPr>
        <w:keepNext w:val="0"/>
        <w:keepLines w:val="0"/>
        <w:pageBreakBefore w:val="0"/>
        <w:shd w:val="clear" w:color="auto" w:fill="auto"/>
        <w:kinsoku/>
        <w:wordWrap/>
        <w:overflowPunct/>
        <w:topLinePunct w:val="0"/>
        <w:autoSpaceDE/>
        <w:autoSpaceDN/>
        <w:bidi w:val="0"/>
        <w:spacing w:beforeAutospacing="0" w:afterAutospacing="0" w:line="620" w:lineRule="exact"/>
        <w:ind w:left="0" w:leftChars="0" w:right="0" w:rightChars="0" w:firstLine="640" w:firstLineChars="200"/>
        <w:jc w:val="left"/>
        <w:textAlignment w:val="auto"/>
        <w:outlineLvl w:val="9"/>
        <w:rPr>
          <w:rFonts w:hint="eastAsia" w:ascii="仿宋_GB2312" w:eastAsia="仿宋_GB2312"/>
          <w:snapToGrid w:val="0"/>
          <w:kern w:val="0"/>
          <w:sz w:val="32"/>
          <w:szCs w:val="32"/>
          <w:lang w:val="en-US" w:eastAsia="zh-CN"/>
        </w:rPr>
      </w:pPr>
      <w:r>
        <w:rPr>
          <w:rFonts w:hint="default" w:ascii="Times New Roman" w:hAnsi="Times New Roman" w:eastAsia="仿宋_GB2312" w:cs="Times New Roman"/>
          <w:kern w:val="2"/>
          <w:sz w:val="32"/>
          <w:szCs w:val="32"/>
        </w:rPr>
        <w:t>涉及商业秘密的信息，经权利人同意或者审计机关认为不公布可能对公共利益造成重大影响的，可以予以公布。</w:t>
      </w:r>
      <w:r>
        <w:rPr>
          <w:rFonts w:hint="eastAsia" w:ascii="仿宋_GB2312" w:eastAsia="仿宋_GB2312"/>
          <w:snapToGrid w:val="0"/>
          <w:kern w:val="0"/>
          <w:sz w:val="32"/>
          <w:szCs w:val="32"/>
          <w:lang w:val="en-US" w:eastAsia="zh-CN"/>
        </w:rPr>
        <w:t>”</w:t>
      </w:r>
    </w:p>
    <w:p>
      <w:pPr>
        <w:keepNext w:val="0"/>
        <w:keepLines w:val="0"/>
        <w:pageBreakBefore w:val="0"/>
        <w:numPr>
          <w:ilvl w:val="0"/>
          <w:numId w:val="1"/>
        </w:numPr>
        <w:tabs>
          <w:tab w:val="left" w:pos="7600"/>
        </w:tabs>
        <w:kinsoku/>
        <w:wordWrap/>
        <w:overflowPunct/>
        <w:topLinePunct w:val="0"/>
        <w:autoSpaceDE/>
        <w:autoSpaceDN/>
        <w:bidi w:val="0"/>
        <w:adjustRightInd w:val="0"/>
        <w:snapToGrid w:val="0"/>
        <w:spacing w:line="620" w:lineRule="exact"/>
        <w:ind w:left="0" w:leftChars="0" w:right="0" w:rightChars="0" w:firstLine="640" w:firstLineChars="200"/>
        <w:textAlignment w:val="auto"/>
        <w:outlineLvl w:val="9"/>
        <w:rPr>
          <w:rFonts w:hint="eastAsia"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将第十六条修改为：“</w:t>
      </w:r>
      <w:r>
        <w:rPr>
          <w:rFonts w:hint="default" w:ascii="Times New Roman" w:hAnsi="Times New Roman" w:eastAsia="仿宋_GB2312" w:cs="Times New Roman"/>
          <w:sz w:val="32"/>
          <w:szCs w:val="32"/>
        </w:rPr>
        <w:t>本办法自印发之日起施行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有效期延续至2028年7月13日。</w:t>
      </w:r>
      <w:r>
        <w:rPr>
          <w:rFonts w:hint="eastAsia" w:ascii="仿宋_GB2312" w:eastAsia="仿宋_GB2312"/>
          <w:snapToGrid w:val="0"/>
          <w:kern w:val="0"/>
          <w:sz w:val="32"/>
          <w:szCs w:val="32"/>
          <w:lang w:val="en-US" w:eastAsia="zh-CN"/>
        </w:rPr>
        <w:t>”</w:t>
      </w:r>
    </w:p>
    <w:p>
      <w:pPr>
        <w:keepNext w:val="0"/>
        <w:keepLines w:val="0"/>
        <w:pageBreakBefore w:val="0"/>
        <w:numPr>
          <w:ilvl w:val="0"/>
          <w:numId w:val="0"/>
        </w:numPr>
        <w:tabs>
          <w:tab w:val="left" w:pos="7600"/>
        </w:tabs>
        <w:kinsoku/>
        <w:wordWrap/>
        <w:overflowPunct/>
        <w:topLinePunct w:val="0"/>
        <w:autoSpaceDE/>
        <w:autoSpaceDN/>
        <w:bidi w:val="0"/>
        <w:adjustRightInd w:val="0"/>
        <w:snapToGrid w:val="0"/>
        <w:spacing w:line="620" w:lineRule="exact"/>
        <w:ind w:left="0" w:leftChars="0" w:right="0" w:rightChars="0" w:firstLine="640" w:firstLineChars="200"/>
        <w:textAlignment w:val="auto"/>
        <w:outlineLvl w:val="9"/>
        <w:rPr>
          <w:rFonts w:hint="default" w:ascii="仿宋_GB2312" w:eastAsia="仿宋_GB2312"/>
          <w:snapToGrid w:val="0"/>
          <w:kern w:val="0"/>
          <w:sz w:val="32"/>
          <w:szCs w:val="32"/>
          <w:lang w:val="en-US" w:eastAsia="zh-CN"/>
        </w:rPr>
      </w:pPr>
      <w:r>
        <w:rPr>
          <w:rFonts w:hint="eastAsia" w:ascii="仿宋_GB2312" w:eastAsia="仿宋_GB2312"/>
          <w:snapToGrid w:val="0"/>
          <w:kern w:val="0"/>
          <w:sz w:val="32"/>
          <w:szCs w:val="32"/>
          <w:lang w:val="en-US" w:eastAsia="zh-CN"/>
        </w:rPr>
        <w:t>本通知自印发之日起生效。</w:t>
      </w:r>
    </w:p>
    <w:p>
      <w:pPr>
        <w:keepNext w:val="0"/>
        <w:keepLines w:val="0"/>
        <w:pageBreakBefore w:val="0"/>
        <w:kinsoku/>
        <w:wordWrap/>
        <w:overflowPunct/>
        <w:topLinePunct w:val="0"/>
        <w:autoSpaceDE/>
        <w:autoSpaceDN/>
        <w:bidi w:val="0"/>
        <w:adjustRightInd w:val="0"/>
        <w:snapToGrid w:val="0"/>
        <w:spacing w:line="620" w:lineRule="exact"/>
        <w:ind w:left="0" w:leftChars="0" w:right="0" w:rightChars="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620" w:lineRule="exact"/>
        <w:ind w:left="0" w:leftChars="0" w:right="0" w:rightChars="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620" w:lineRule="exact"/>
        <w:ind w:left="0" w:leftChars="0" w:right="0" w:rightChars="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620" w:lineRule="exact"/>
        <w:ind w:left="0" w:leftChars="0" w:right="0" w:rightChars="0" w:firstLine="5120" w:firstLineChars="1600"/>
        <w:textAlignment w:val="auto"/>
        <w:outlineLvl w:val="9"/>
        <w:rPr>
          <w:rFonts w:hint="eastAsia" w:ascii="仿宋_GB2312" w:eastAsia="仿宋_GB2312"/>
          <w:sz w:val="32"/>
          <w:szCs w:val="32"/>
        </w:rPr>
      </w:pPr>
      <w:r>
        <w:rPr>
          <w:rFonts w:hint="default" w:ascii="Times New Roman" w:hAnsi="Times New Roman" w:eastAsia="仿宋_GB2312" w:cs="Times New Roman"/>
          <w:sz w:val="32"/>
          <w:szCs w:val="32"/>
          <w:lang w:val="en-US" w:eastAsia="zh-CN"/>
        </w:rPr>
        <w:t>20</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29</w:t>
      </w:r>
      <w:r>
        <w:rPr>
          <w:rFonts w:hint="default" w:ascii="Times New Roman" w:hAnsi="Times New Roman" w:eastAsia="仿宋_GB2312" w:cs="Times New Roman"/>
          <w:sz w:val="32"/>
          <w:szCs w:val="32"/>
          <w:lang w:val="en-US" w:eastAsia="zh-CN"/>
        </w:rPr>
        <w:t>日</w:t>
      </w:r>
    </w:p>
    <w:p>
      <w:pPr>
        <w:keepNext w:val="0"/>
        <w:keepLines w:val="0"/>
        <w:pageBreakBefore w:val="0"/>
        <w:kinsoku/>
        <w:wordWrap/>
        <w:overflowPunct/>
        <w:topLinePunct w:val="0"/>
        <w:autoSpaceDE/>
        <w:autoSpaceDN/>
        <w:bidi w:val="0"/>
        <w:adjustRightInd w:val="0"/>
        <w:snapToGrid w:val="0"/>
        <w:spacing w:line="620" w:lineRule="exact"/>
        <w:ind w:left="0" w:leftChars="0" w:right="0" w:rightChars="0"/>
        <w:textAlignment w:val="auto"/>
        <w:outlineLvl w:val="9"/>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pBdr>
          <w:top w:val="single" w:color="auto" w:sz="12" w:space="1"/>
          <w:bottom w:val="single" w:color="auto" w:sz="12" w:space="1"/>
          <w:between w:val="single" w:color="auto" w:sz="8" w:space="1"/>
        </w:pBdr>
        <w:tabs>
          <w:tab w:val="left" w:pos="7655"/>
          <w:tab w:val="right" w:pos="8789"/>
        </w:tabs>
        <w:adjustRightInd w:val="0"/>
        <w:snapToGrid w:val="0"/>
        <w:spacing w:line="500" w:lineRule="exact"/>
        <w:jc w:val="left"/>
        <w:rPr>
          <w:rFonts w:hint="eastAsia" w:eastAsia="仿宋_GB2312"/>
          <w:sz w:val="28"/>
          <w:szCs w:val="28"/>
        </w:rPr>
      </w:pPr>
      <w:r>
        <w:rPr>
          <w:rFonts w:hint="eastAsia" w:eastAsia="仿宋_GB2312"/>
          <w:sz w:val="28"/>
          <w:szCs w:val="28"/>
        </w:rPr>
        <w:t xml:space="preserve">  天津市审计局办公室                     </w:t>
      </w:r>
      <w:r>
        <w:rPr>
          <w:rFonts w:hint="eastAsia" w:eastAsia="仿宋_GB2312"/>
          <w:sz w:val="28"/>
          <w:szCs w:val="28"/>
          <w:lang w:val="en-US" w:eastAsia="zh-CN"/>
        </w:rPr>
        <w:t xml:space="preserve">  </w:t>
      </w:r>
      <w:r>
        <w:rPr>
          <w:rFonts w:hint="eastAsia" w:eastAsia="仿宋_GB2312"/>
          <w:sz w:val="28"/>
          <w:szCs w:val="28"/>
        </w:rPr>
        <w:t>20</w:t>
      </w:r>
      <w:r>
        <w:rPr>
          <w:rFonts w:hint="eastAsia" w:eastAsia="仿宋_GB2312"/>
          <w:sz w:val="28"/>
          <w:szCs w:val="28"/>
          <w:lang w:val="en-US" w:eastAsia="zh-CN"/>
        </w:rPr>
        <w:t>23</w:t>
      </w:r>
      <w:r>
        <w:rPr>
          <w:rFonts w:hint="eastAsia" w:eastAsia="仿宋_GB2312"/>
          <w:sz w:val="28"/>
          <w:szCs w:val="28"/>
        </w:rPr>
        <w:t>年</w:t>
      </w:r>
      <w:r>
        <w:rPr>
          <w:rFonts w:hint="eastAsia" w:eastAsia="仿宋_GB2312"/>
          <w:sz w:val="28"/>
          <w:szCs w:val="28"/>
          <w:lang w:val="en-US" w:eastAsia="zh-CN"/>
        </w:rPr>
        <w:t>6</w:t>
      </w:r>
      <w:r>
        <w:rPr>
          <w:rFonts w:hint="eastAsia" w:eastAsia="仿宋_GB2312"/>
          <w:sz w:val="28"/>
          <w:szCs w:val="28"/>
        </w:rPr>
        <w:t>月</w:t>
      </w:r>
      <w:r>
        <w:rPr>
          <w:rFonts w:hint="eastAsia" w:eastAsia="仿宋_GB2312"/>
          <w:sz w:val="28"/>
          <w:szCs w:val="28"/>
          <w:lang w:val="en-US" w:eastAsia="zh-CN"/>
        </w:rPr>
        <w:t>2</w:t>
      </w:r>
      <w:r>
        <w:rPr>
          <w:rFonts w:hint="eastAsia" w:eastAsia="仿宋_GB2312"/>
          <w:sz w:val="28"/>
          <w:szCs w:val="28"/>
        </w:rPr>
        <w:t>日</w:t>
      </w:r>
      <w:r>
        <w:rPr>
          <w:rFonts w:eastAsia="仿宋_GB2312"/>
          <w:sz w:val="28"/>
          <w:szCs w:val="28"/>
        </w:rPr>
        <w:t>印发</w:t>
      </w:r>
    </w:p>
    <w:sectPr>
      <w:headerReference r:id="rId3" w:type="default"/>
      <w:footerReference r:id="rId4" w:type="default"/>
      <w:footerReference r:id="rId5" w:type="even"/>
      <w:pgSz w:w="11906" w:h="16838"/>
      <w:pgMar w:top="1984" w:right="1474" w:bottom="1928" w:left="1588" w:header="1247" w:footer="1531"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00" w:usb3="00000000" w:csb0="00040000" w:csb1="00000000"/>
  </w:font>
  <w:font w:name="长城大标宋体">
    <w:altName w:val="宋体"/>
    <w:panose1 w:val="02010609010101010101"/>
    <w:charset w:val="86"/>
    <w:family w:val="modern"/>
    <w:pitch w:val="default"/>
    <w:sig w:usb0="00000000" w:usb1="00000000" w:usb2="00000000" w:usb3="00000000" w:csb0="00000000" w:csb1="00000000"/>
  </w:font>
  <w:font w:name="文星标宋">
    <w:panose1 w:val="02010609000101010101"/>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spacing w:line="240" w:lineRule="exact"/>
      <w:ind w:left="210" w:leftChars="100" w:right="210" w:rightChars="100"/>
      <w:rPr>
        <w:rStyle w:val="22"/>
      </w:rPr>
    </w:pPr>
    <w:r>
      <w:rPr>
        <w:rStyle w:val="22"/>
        <w:sz w:val="28"/>
      </w:rPr>
      <w:t xml:space="preserve"> —</w:t>
    </w:r>
    <w:r>
      <w:rPr>
        <w:rStyle w:val="22"/>
        <w:spacing w:val="100"/>
        <w:sz w:val="28"/>
      </w:rPr>
      <w:t xml:space="preserve"> </w:t>
    </w:r>
    <w:r>
      <w:rPr>
        <w:sz w:val="28"/>
      </w:rPr>
      <w:fldChar w:fldCharType="begin"/>
    </w:r>
    <w:r>
      <w:rPr>
        <w:rStyle w:val="22"/>
        <w:sz w:val="28"/>
      </w:rPr>
      <w:instrText xml:space="preserve">PAGE  </w:instrText>
    </w:r>
    <w:r>
      <w:rPr>
        <w:sz w:val="28"/>
      </w:rPr>
      <w:fldChar w:fldCharType="separate"/>
    </w:r>
    <w:r>
      <w:rPr>
        <w:rStyle w:val="22"/>
        <w:sz w:val="28"/>
      </w:rPr>
      <w:t>1</w:t>
    </w:r>
    <w:r>
      <w:rPr>
        <w:sz w:val="28"/>
      </w:rPr>
      <w:fldChar w:fldCharType="end"/>
    </w:r>
    <w:r>
      <w:rPr>
        <w:rStyle w:val="22"/>
        <w:spacing w:val="100"/>
        <w:sz w:val="28"/>
      </w:rPr>
      <w:t xml:space="preserve"> </w:t>
    </w:r>
    <w:r>
      <w:rPr>
        <w:rStyle w:val="22"/>
        <w:sz w:val="28"/>
      </w:rPr>
      <w:t>—</w:t>
    </w:r>
  </w:p>
  <w:p>
    <w:pPr>
      <w:pStyle w:val="15"/>
      <w:spacing w:line="240" w:lineRule="exact"/>
      <w:ind w:left="315" w:leftChars="150" w:righ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2"/>
      </w:rPr>
    </w:pPr>
    <w:r>
      <w:fldChar w:fldCharType="begin"/>
    </w:r>
    <w:r>
      <w:rPr>
        <w:rStyle w:val="22"/>
      </w:rPr>
      <w:instrText xml:space="preserve">PAGE  </w:instrText>
    </w:r>
    <w:r>
      <w:fldChar w:fldCharType="separate"/>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9317"/>
    <w:multiLevelType w:val="singleLevel"/>
    <w:tmpl w:val="5E37931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5"/>
  <w:hyphenationZone w:val="360"/>
  <w:drawingGridHorizontalSpacing w:val="10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035B"/>
    <w:rsid w:val="00042511"/>
    <w:rsid w:val="00075BF9"/>
    <w:rsid w:val="0008050C"/>
    <w:rsid w:val="000901EC"/>
    <w:rsid w:val="0009518C"/>
    <w:rsid w:val="000A17C2"/>
    <w:rsid w:val="000A4A7B"/>
    <w:rsid w:val="000A7685"/>
    <w:rsid w:val="000B5965"/>
    <w:rsid w:val="000E4470"/>
    <w:rsid w:val="000F0BC1"/>
    <w:rsid w:val="00112765"/>
    <w:rsid w:val="0013380C"/>
    <w:rsid w:val="001404BB"/>
    <w:rsid w:val="00144375"/>
    <w:rsid w:val="00151CC2"/>
    <w:rsid w:val="001749A2"/>
    <w:rsid w:val="0018062B"/>
    <w:rsid w:val="001850E1"/>
    <w:rsid w:val="001B203D"/>
    <w:rsid w:val="001C44B5"/>
    <w:rsid w:val="00281886"/>
    <w:rsid w:val="00284F1E"/>
    <w:rsid w:val="002A36CE"/>
    <w:rsid w:val="002A5AC1"/>
    <w:rsid w:val="002B08F3"/>
    <w:rsid w:val="002B6D95"/>
    <w:rsid w:val="002C1D84"/>
    <w:rsid w:val="002D76C3"/>
    <w:rsid w:val="00304F08"/>
    <w:rsid w:val="00307ADA"/>
    <w:rsid w:val="0034523E"/>
    <w:rsid w:val="00350093"/>
    <w:rsid w:val="00364710"/>
    <w:rsid w:val="00365543"/>
    <w:rsid w:val="00380530"/>
    <w:rsid w:val="00390DF1"/>
    <w:rsid w:val="003A1084"/>
    <w:rsid w:val="003A38A9"/>
    <w:rsid w:val="003D2971"/>
    <w:rsid w:val="003D483F"/>
    <w:rsid w:val="003E4553"/>
    <w:rsid w:val="00420D7F"/>
    <w:rsid w:val="004368F7"/>
    <w:rsid w:val="004406ED"/>
    <w:rsid w:val="00450135"/>
    <w:rsid w:val="00474211"/>
    <w:rsid w:val="0047554C"/>
    <w:rsid w:val="004A1310"/>
    <w:rsid w:val="004E4F8A"/>
    <w:rsid w:val="005023A1"/>
    <w:rsid w:val="00505746"/>
    <w:rsid w:val="00515CDC"/>
    <w:rsid w:val="005238A1"/>
    <w:rsid w:val="005561E9"/>
    <w:rsid w:val="00564151"/>
    <w:rsid w:val="005678ED"/>
    <w:rsid w:val="00575BDA"/>
    <w:rsid w:val="005A30AF"/>
    <w:rsid w:val="005D2D4B"/>
    <w:rsid w:val="005E59C2"/>
    <w:rsid w:val="00623334"/>
    <w:rsid w:val="00624930"/>
    <w:rsid w:val="00626EBD"/>
    <w:rsid w:val="006340EB"/>
    <w:rsid w:val="00660D1F"/>
    <w:rsid w:val="00666DE1"/>
    <w:rsid w:val="006E36E2"/>
    <w:rsid w:val="006E6DAA"/>
    <w:rsid w:val="006F65E5"/>
    <w:rsid w:val="007039D9"/>
    <w:rsid w:val="007135E1"/>
    <w:rsid w:val="007179F7"/>
    <w:rsid w:val="00722ED9"/>
    <w:rsid w:val="00750078"/>
    <w:rsid w:val="0076284C"/>
    <w:rsid w:val="00771991"/>
    <w:rsid w:val="0077523A"/>
    <w:rsid w:val="007A45FF"/>
    <w:rsid w:val="007B0EDA"/>
    <w:rsid w:val="007C5F7B"/>
    <w:rsid w:val="008227FE"/>
    <w:rsid w:val="00827C64"/>
    <w:rsid w:val="00843BFA"/>
    <w:rsid w:val="008D07DD"/>
    <w:rsid w:val="008E5310"/>
    <w:rsid w:val="008F708B"/>
    <w:rsid w:val="00914F94"/>
    <w:rsid w:val="00922578"/>
    <w:rsid w:val="00930008"/>
    <w:rsid w:val="00937C26"/>
    <w:rsid w:val="00986715"/>
    <w:rsid w:val="009C6A2E"/>
    <w:rsid w:val="00A16938"/>
    <w:rsid w:val="00A3641D"/>
    <w:rsid w:val="00A570CC"/>
    <w:rsid w:val="00A67BDF"/>
    <w:rsid w:val="00A71E34"/>
    <w:rsid w:val="00A81C9E"/>
    <w:rsid w:val="00A83ADD"/>
    <w:rsid w:val="00AC108E"/>
    <w:rsid w:val="00B12698"/>
    <w:rsid w:val="00B57CCA"/>
    <w:rsid w:val="00B72569"/>
    <w:rsid w:val="00BA69F1"/>
    <w:rsid w:val="00BC46CF"/>
    <w:rsid w:val="00BE6C88"/>
    <w:rsid w:val="00C32195"/>
    <w:rsid w:val="00C441DD"/>
    <w:rsid w:val="00C52289"/>
    <w:rsid w:val="00CC6C81"/>
    <w:rsid w:val="00CF4B6A"/>
    <w:rsid w:val="00D07834"/>
    <w:rsid w:val="00D52BE1"/>
    <w:rsid w:val="00DA64F5"/>
    <w:rsid w:val="00DF3F32"/>
    <w:rsid w:val="00DF59A2"/>
    <w:rsid w:val="00E0076A"/>
    <w:rsid w:val="00E0474A"/>
    <w:rsid w:val="00E965DF"/>
    <w:rsid w:val="00EC77EC"/>
    <w:rsid w:val="00F13F0F"/>
    <w:rsid w:val="00F34F2A"/>
    <w:rsid w:val="00F51621"/>
    <w:rsid w:val="00FD4736"/>
    <w:rsid w:val="00FE04BD"/>
    <w:rsid w:val="00FE5B23"/>
    <w:rsid w:val="14D11DFE"/>
    <w:rsid w:val="18543374"/>
    <w:rsid w:val="1BD31012"/>
    <w:rsid w:val="20673552"/>
    <w:rsid w:val="2BAFE362"/>
    <w:rsid w:val="35BFED95"/>
    <w:rsid w:val="3EAB0813"/>
    <w:rsid w:val="5AFF35DF"/>
    <w:rsid w:val="5D235D75"/>
    <w:rsid w:val="5DFA8253"/>
    <w:rsid w:val="5E7D42BB"/>
    <w:rsid w:val="5EBF14C8"/>
    <w:rsid w:val="63EF6AAB"/>
    <w:rsid w:val="65CE6A54"/>
    <w:rsid w:val="6617477C"/>
    <w:rsid w:val="686B2FBF"/>
    <w:rsid w:val="6BDB3873"/>
    <w:rsid w:val="6D2F564D"/>
    <w:rsid w:val="6DFF96A7"/>
    <w:rsid w:val="6FAF43E8"/>
    <w:rsid w:val="733FDAE8"/>
    <w:rsid w:val="7AF306ED"/>
    <w:rsid w:val="7BB92F93"/>
    <w:rsid w:val="7BFDB496"/>
    <w:rsid w:val="7DFD4258"/>
    <w:rsid w:val="7DFFC067"/>
    <w:rsid w:val="7ED6BDB0"/>
    <w:rsid w:val="7F6D229A"/>
    <w:rsid w:val="7F9EF89C"/>
    <w:rsid w:val="7FBA98D1"/>
    <w:rsid w:val="7FBFD906"/>
    <w:rsid w:val="7FEC8E92"/>
    <w:rsid w:val="7FFC5AF3"/>
    <w:rsid w:val="7FFE445C"/>
    <w:rsid w:val="8FBB7651"/>
    <w:rsid w:val="9C364B6B"/>
    <w:rsid w:val="9FDFAD06"/>
    <w:rsid w:val="BDDF5F02"/>
    <w:rsid w:val="BFF8C466"/>
    <w:rsid w:val="DA6FBA95"/>
    <w:rsid w:val="DFDD3370"/>
    <w:rsid w:val="DFE4DC2B"/>
    <w:rsid w:val="E9EF2D9E"/>
    <w:rsid w:val="EFDF45A9"/>
    <w:rsid w:val="EFFF01E3"/>
    <w:rsid w:val="F7CE275D"/>
    <w:rsid w:val="F97F54E9"/>
    <w:rsid w:val="F9F4B70E"/>
    <w:rsid w:val="FBD5AA91"/>
    <w:rsid w:val="FBF7979F"/>
    <w:rsid w:val="FEEB2751"/>
    <w:rsid w:val="FEF5DC6E"/>
    <w:rsid w:val="FF7DE42C"/>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spacing w:line="600" w:lineRule="exact"/>
      <w:outlineLvl w:val="0"/>
    </w:pPr>
    <w:rPr>
      <w:sz w:val="32"/>
    </w:rPr>
  </w:style>
  <w:style w:type="paragraph" w:styleId="3">
    <w:name w:val="heading 2"/>
    <w:basedOn w:val="1"/>
    <w:next w:val="4"/>
    <w:unhideWhenUsed/>
    <w:qFormat/>
    <w:uiPriority w:val="0"/>
    <w:pPr>
      <w:keepNext/>
      <w:keepLines/>
      <w:spacing w:before="260" w:beforeLines="0" w:after="260" w:afterLines="0" w:line="413" w:lineRule="auto"/>
      <w:outlineLvl w:val="1"/>
    </w:pPr>
    <w:rPr>
      <w:rFonts w:ascii="Arial" w:hAnsi="Arial" w:eastAsia="黑体"/>
      <w:b/>
      <w:sz w:val="32"/>
    </w:rPr>
  </w:style>
  <w:style w:type="paragraph" w:styleId="5">
    <w:name w:val="heading 3"/>
    <w:basedOn w:val="1"/>
    <w:next w:val="4"/>
    <w:unhideWhenUsed/>
    <w:qFormat/>
    <w:uiPriority w:val="0"/>
    <w:pPr>
      <w:keepNext/>
      <w:spacing w:line="400" w:lineRule="exact"/>
      <w:jc w:val="center"/>
      <w:outlineLvl w:val="2"/>
    </w:pPr>
    <w:rPr>
      <w:rFonts w:ascii="仿宋_GB2312"/>
      <w:spacing w:val="94"/>
      <w:sz w:val="32"/>
    </w:rPr>
  </w:style>
  <w:style w:type="character" w:default="1" w:styleId="20">
    <w:name w:val="Default Paragraph Font"/>
    <w:link w:val="21"/>
    <w:semiHidden/>
    <w:qFormat/>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6">
    <w:name w:val="Body Text First Indent"/>
    <w:basedOn w:val="7"/>
    <w:qFormat/>
    <w:uiPriority w:val="0"/>
    <w:pPr>
      <w:snapToGrid/>
      <w:spacing w:line="240" w:lineRule="auto"/>
      <w:ind w:firstLine="200"/>
    </w:pPr>
  </w:style>
  <w:style w:type="paragraph" w:styleId="7">
    <w:name w:val="Body Text"/>
    <w:basedOn w:val="1"/>
    <w:qFormat/>
    <w:uiPriority w:val="0"/>
    <w:pPr>
      <w:snapToGrid w:val="0"/>
      <w:spacing w:line="579" w:lineRule="exact"/>
    </w:pPr>
    <w:rPr>
      <w:rFonts w:eastAsia="仿宋_GB2312"/>
      <w:sz w:val="32"/>
    </w:rPr>
  </w:style>
  <w:style w:type="paragraph" w:styleId="8">
    <w:name w:val="Document Map"/>
    <w:basedOn w:val="1"/>
    <w:qFormat/>
    <w:uiPriority w:val="0"/>
    <w:pPr>
      <w:shd w:val="clear" w:color="auto" w:fill="000080"/>
    </w:pPr>
    <w:rPr>
      <w:szCs w:val="24"/>
    </w:rPr>
  </w:style>
  <w:style w:type="paragraph" w:styleId="9">
    <w:name w:val="annotation text"/>
    <w:basedOn w:val="1"/>
    <w:qFormat/>
    <w:uiPriority w:val="0"/>
    <w:pPr>
      <w:jc w:val="left"/>
    </w:pPr>
  </w:style>
  <w:style w:type="paragraph" w:styleId="10">
    <w:name w:val="Body Text Indent"/>
    <w:basedOn w:val="1"/>
    <w:qFormat/>
    <w:uiPriority w:val="0"/>
    <w:pPr>
      <w:ind w:firstLine="540"/>
    </w:pPr>
    <w:rPr>
      <w:sz w:val="30"/>
    </w:rPr>
  </w:style>
  <w:style w:type="paragraph" w:styleId="11">
    <w:name w:val="Plain Text"/>
    <w:basedOn w:val="1"/>
    <w:qFormat/>
    <w:uiPriority w:val="0"/>
    <w:rPr>
      <w:rFonts w:ascii="宋体" w:hAnsi="Courier New"/>
    </w:rPr>
  </w:style>
  <w:style w:type="paragraph" w:styleId="12">
    <w:name w:val="Date"/>
    <w:basedOn w:val="1"/>
    <w:next w:val="1"/>
    <w:qFormat/>
    <w:uiPriority w:val="0"/>
    <w:rPr>
      <w:rFonts w:eastAsia="仿宋_GB2312"/>
      <w:sz w:val="32"/>
    </w:rPr>
  </w:style>
  <w:style w:type="paragraph" w:styleId="13">
    <w:name w:val="Body Text Indent 2"/>
    <w:basedOn w:val="1"/>
    <w:qFormat/>
    <w:uiPriority w:val="0"/>
    <w:pPr>
      <w:ind w:firstLine="720"/>
    </w:pPr>
    <w:rPr>
      <w:rFonts w:ascii="仿宋_GB2312" w:eastAsia="仿宋_GB2312"/>
      <w:sz w:val="30"/>
    </w:rPr>
  </w:style>
  <w:style w:type="paragraph" w:styleId="14">
    <w:name w:val="Balloon Text"/>
    <w:basedOn w:val="1"/>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0"/>
    <w:pPr>
      <w:tabs>
        <w:tab w:val="right" w:leader="dot" w:pos="9450"/>
      </w:tabs>
      <w:ind w:left="420" w:right="-510" w:rightChars="-243"/>
      <w:jc w:val="left"/>
    </w:pPr>
    <w:rPr>
      <w:rFonts w:ascii="宋体" w:hAnsi="宋体"/>
      <w:szCs w:val="24"/>
    </w:rPr>
  </w:style>
  <w:style w:type="paragraph" w:styleId="18">
    <w:name w:val="toc 2"/>
    <w:basedOn w:val="1"/>
    <w:next w:val="1"/>
    <w:qFormat/>
    <w:uiPriority w:val="0"/>
    <w:pPr>
      <w:tabs>
        <w:tab w:val="right" w:leader="dot" w:pos="9402"/>
      </w:tabs>
      <w:adjustRightInd w:val="0"/>
      <w:snapToGrid w:val="0"/>
      <w:spacing w:line="500" w:lineRule="exact"/>
      <w:jc w:val="distribute"/>
    </w:pPr>
    <w:rPr>
      <w:szCs w:val="24"/>
    </w:rPr>
  </w:style>
  <w:style w:type="paragraph" w:styleId="19">
    <w:name w:val="Title"/>
    <w:basedOn w:val="1"/>
    <w:next w:val="6"/>
    <w:qFormat/>
    <w:uiPriority w:val="0"/>
    <w:pPr>
      <w:jc w:val="center"/>
      <w:outlineLvl w:val="0"/>
    </w:pPr>
    <w:rPr>
      <w:b/>
      <w:sz w:val="44"/>
    </w:rPr>
  </w:style>
  <w:style w:type="paragraph" w:customStyle="1" w:styleId="21">
    <w:name w:val="_Style 36"/>
    <w:basedOn w:val="8"/>
    <w:link w:val="20"/>
    <w:semiHidden/>
    <w:qFormat/>
    <w:uiPriority w:val="0"/>
    <w:rPr>
      <w:rFonts w:ascii="Tahoma" w:hAnsi="Tahoma"/>
      <w:sz w:val="24"/>
    </w:rPr>
  </w:style>
  <w:style w:type="character" w:styleId="22">
    <w:name w:val="page number"/>
    <w:basedOn w:val="20"/>
    <w:qFormat/>
    <w:uiPriority w:val="0"/>
  </w:style>
  <w:style w:type="character" w:styleId="23">
    <w:name w:val="Hyperlink"/>
    <w:qFormat/>
    <w:uiPriority w:val="0"/>
    <w:rPr>
      <w:color w:val="0000FF"/>
      <w:u w:val="single"/>
    </w:rPr>
  </w:style>
  <w:style w:type="paragraph" w:customStyle="1" w:styleId="25">
    <w:name w:val="Char"/>
    <w:basedOn w:val="1"/>
    <w:qFormat/>
    <w:uiPriority w:val="0"/>
    <w:pPr>
      <w:snapToGrid w:val="0"/>
      <w:spacing w:line="360" w:lineRule="auto"/>
      <w:ind w:firstLine="200" w:firstLineChars="200"/>
    </w:pPr>
  </w:style>
  <w:style w:type="paragraph" w:customStyle="1" w:styleId="26">
    <w:name w:val=" Char"/>
    <w:basedOn w:val="1"/>
    <w:qFormat/>
    <w:uiPriority w:val="0"/>
    <w:pPr>
      <w:spacing w:before="156" w:beforeLines="50" w:after="156" w:afterLines="50"/>
    </w:pPr>
    <w:rPr>
      <w:rFonts w:ascii="Tahoma" w:hAnsi="Tahoma"/>
      <w:sz w:val="24"/>
    </w:rPr>
  </w:style>
  <w:style w:type="paragraph" w:customStyle="1" w:styleId="27">
    <w:name w:val=" Char Char Char"/>
    <w:basedOn w:val="1"/>
    <w:qFormat/>
    <w:uiPriority w:val="0"/>
    <w:pPr>
      <w:keepNext/>
      <w:widowControl/>
      <w:tabs>
        <w:tab w:val="left" w:pos="425"/>
      </w:tabs>
      <w:autoSpaceDE w:val="0"/>
      <w:autoSpaceDN w:val="0"/>
      <w:adjustRightInd w:val="0"/>
      <w:spacing w:before="80" w:beforeLines="0" w:after="80" w:afterLines="0"/>
      <w:ind w:hanging="425"/>
    </w:pPr>
    <w:rPr>
      <w:rFonts w:ascii="Arial" w:hAnsi="Arial" w:cs="Arial"/>
      <w:sz w:val="20"/>
    </w:rPr>
  </w:style>
  <w:style w:type="paragraph" w:customStyle="1" w:styleId="28">
    <w:name w:val="默认段落字体 Para Char Char Char Char Char Char Char Char Char Char"/>
    <w:basedOn w:val="1"/>
    <w:qFormat/>
    <w:uiPriority w:val="0"/>
  </w:style>
  <w:style w:type="paragraph" w:customStyle="1" w:styleId="29">
    <w:name w:val="公文标题"/>
    <w:basedOn w:val="1"/>
    <w:qFormat/>
    <w:uiPriority w:val="0"/>
    <w:pPr>
      <w:autoSpaceDE w:val="0"/>
      <w:autoSpaceDN w:val="0"/>
      <w:snapToGrid w:val="0"/>
      <w:spacing w:line="580" w:lineRule="exact"/>
      <w:jc w:val="center"/>
    </w:pPr>
    <w:rPr>
      <w:rFonts w:ascii="方正小标宋简体" w:eastAsia="方正小标宋简体"/>
      <w:spacing w:val="-4"/>
      <w:sz w:val="44"/>
    </w:rPr>
  </w:style>
  <w:style w:type="paragraph" w:customStyle="1" w:styleId="30">
    <w:name w:val="_Style 23"/>
    <w:basedOn w:val="8"/>
    <w:semiHidden/>
    <w:qFormat/>
    <w:uiPriority w:val="0"/>
    <w:rPr>
      <w:rFonts w:ascii="Tahoma" w:hAnsi="Tahoma"/>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天津市审计局平行、下行文.dot</Template>
  <Pages>2</Pages>
  <Words>32</Words>
  <Characters>33</Characters>
  <Lines>2</Lines>
  <Paragraphs>1</Paragraphs>
  <TotalTime>0</TotalTime>
  <ScaleCrop>false</ScaleCrop>
  <LinksUpToDate>false</LinksUpToDate>
  <CharactersWithSpaces>121</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2021-04-18T03:25:00Z</dcterms:created>
  <dc:creator>＆沉淀。</dc:creator>
  <cp:lastModifiedBy>pc</cp:lastModifiedBy>
  <dcterms:modified xsi:type="dcterms:W3CDTF">2024-04-01T03:28:53Z</dcterms:modified>
  <dc:title>审经意〔2000〕447号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2BC23F0314824AF9804F35247F3DA0C4</vt:lpwstr>
  </property>
  <property fmtid="{D5CDD505-2E9C-101B-9397-08002B2CF9AE}" pid="4" name="tempId">
    <vt:lpwstr>01S4SeDfp5YXO97leYpqSP.docx</vt:lpwstr>
  </property>
  <property fmtid="{D5CDD505-2E9C-101B-9397-08002B2CF9AE}" pid="5" name="handleFileFlag">
    <vt:lpwstr>1</vt:lpwstr>
  </property>
  <property fmtid="{D5CDD505-2E9C-101B-9397-08002B2CF9AE}" pid="6" name="openType">
    <vt:lpwstr>0</vt:lpwstr>
  </property>
  <property fmtid="{D5CDD505-2E9C-101B-9397-08002B2CF9AE}" pid="7" name="showFlag">
    <vt:lpwstr>true</vt:lpwstr>
  </property>
  <property fmtid="{D5CDD505-2E9C-101B-9397-08002B2CF9AE}" pid="8" name="docId">
    <vt:r8>1685687337470.13</vt:r8>
  </property>
  <property fmtid="{D5CDD505-2E9C-101B-9397-08002B2CF9AE}" pid="9" name="fileName">
    <vt:lpwstr>https://oa.tjaudit.gov.cn:8080/file/1JgKCrQvt6SF8jzSYL4Aej.wps?type=wps&amp;OSS_FLAG=1</vt:lpwstr>
  </property>
  <property fmtid="{D5CDD505-2E9C-101B-9397-08002B2CF9AE}" pid="10" name="fileTextName">
    <vt:lpwstr>市审计局关于修改《天津市审计机关审计结果公告暂行办法》的通知.wps</vt:lpwstr>
  </property>
  <property fmtid="{D5CDD505-2E9C-101B-9397-08002B2CF9AE}" pid="11" name="orgDocId">
    <vt:lpwstr>1JgKCrQvt6SF8jzSYL4Aej.wps</vt:lpwstr>
  </property>
  <property fmtid="{D5CDD505-2E9C-101B-9397-08002B2CF9AE}" pid="12" name="saveOriginFile">
    <vt:i4>3</vt:i4>
  </property>
  <property fmtid="{D5CDD505-2E9C-101B-9397-08002B2CF9AE}" pid="13" name="uploadNewPath">
    <vt:lpwstr>https://oa.tjaudit.gov.cn:8080/file?listener=OA_GW_GONGWEN&amp;hisType=ZHENGWEN&amp;fileFlowType=文印室&amp;ifGuiDang=1&amp;orgDocId=1JgKCrQvt6SF8jzSYL4Aej.wps&amp;docId=1685687337470.1272&amp;dataId=2503823CB0UWyowdisTIVC&amp;fileName=市审计局关于修改《天津市审计机关审计结果公告暂行办法》的通知.wps&amp;itemCode=WENGAO&amp;keepMetaData=true&amp;type=wps&amp;NIID=1A1i7Tt8Z6SGSG5JybeGUw&amp;servId=OA_GW_GONGWEN_TPB_XZFW_TJ&amp;X-XSRF-TOKEN=73514340520f34f673541ef60d9311eb&amp;X-DEVICE-NAME=@USER_CODE@&amp;OSS_FLAG=1</vt:lpwstr>
  </property>
  <property fmtid="{D5CDD505-2E9C-101B-9397-08002B2CF9AE}" pid="14" name="uploadPath">
    <vt:lpwstr>https://oa.tjaudit.gov.cn:8080/file/1JgKCrQvt6SF8jzSYL4Aej.wps?keepMetaData=true&amp;type=wps&amp;NIID=1A1i7Tt8Z6SGSG5JybeGUw&amp;model=saveHist&amp;QINGGAOTYPE=FEIQINGGAO&amp;X-XSRF-TOKEN=73514340520f34f673541ef60d9311eb&amp;X-DEVICE-NAME=@USER_CODE@&amp;OSS_FLAG=1</vt:lpwstr>
  </property>
  <property fmtid="{D5CDD505-2E9C-101B-9397-08002B2CF9AE}" pid="15" name="ribbonExt">
    <vt:lpwstr>{"WPSExtOfficeTab":{"OnGetEnabled":true,"OnGetVisible":true},"btnClearRevDoc":{"GetImage":"icon/clearComments.png","OnGetEnabled":true,"OnGetLabel":"清稿","OnGetVisible":true}}</vt:lpwstr>
  </property>
  <property fmtid="{D5CDD505-2E9C-101B-9397-08002B2CF9AE}" pid="16" name="docName">
    <vt:lpwstr>市审计局关于修改《天津市审计机关审计结果公告暂行办法》的通知.wps</vt:lpwstr>
  </property>
</Properties>
</file>